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360" w:lineRule="auto"/>
        <w:jc w:val="center"/>
        <w:rPr>
          <w:rFonts w:ascii="Palatino Linotype" w:eastAsia="Palatino Linotype" w:hAnsi="Palatino Linotype" w:cs="Palatino Linotype"/>
          <w:b/>
        </w:rPr>
      </w:pPr>
    </w:p>
    <w:p w:rsidR="005941C9" w:rsidRDefault="005941C9">
      <w:pPr>
        <w:spacing w:after="0" w:line="360" w:lineRule="auto"/>
        <w:jc w:val="center"/>
        <w:rPr>
          <w:rFonts w:ascii="Palatino Linotype" w:eastAsia="Palatino Linotype" w:hAnsi="Palatino Linotype" w:cs="Palatino Linotype"/>
          <w:b/>
        </w:rPr>
      </w:pPr>
    </w:p>
    <w:p w:rsidR="005941C9" w:rsidRDefault="00A77877">
      <w:pPr>
        <w:spacing w:after="0" w:line="360" w:lineRule="auto"/>
        <w:jc w:val="center"/>
        <w:rPr>
          <w:rFonts w:ascii="Palatino Linotype" w:eastAsia="Palatino Linotype" w:hAnsi="Palatino Linotype" w:cs="Palatino Linotype"/>
          <w:b/>
          <w:sz w:val="28"/>
          <w:szCs w:val="28"/>
        </w:rPr>
      </w:pPr>
      <w:r>
        <w:rPr>
          <w:rFonts w:ascii="Palatino Linotype" w:eastAsia="Palatino Linotype" w:hAnsi="Palatino Linotype" w:cs="Palatino Linotype"/>
          <w:b/>
          <w:sz w:val="28"/>
          <w:szCs w:val="28"/>
        </w:rPr>
        <w:t>АНАЛИЗ</w:t>
      </w:r>
    </w:p>
    <w:p w:rsidR="005941C9" w:rsidRDefault="00A77877">
      <w:pPr>
        <w:spacing w:after="0" w:line="360" w:lineRule="auto"/>
        <w:jc w:val="center"/>
        <w:rPr>
          <w:rFonts w:ascii="Palatino Linotype" w:eastAsia="Palatino Linotype" w:hAnsi="Palatino Linotype" w:cs="Palatino Linotype"/>
        </w:rPr>
      </w:pPr>
      <w:r>
        <w:rPr>
          <w:rFonts w:ascii="Palatino Linotype" w:eastAsia="Palatino Linotype" w:hAnsi="Palatino Linotype" w:cs="Palatino Linotype"/>
        </w:rPr>
        <w:t xml:space="preserve">НА ИКОНОМИЧЕСКИТЕ ИНСТРУМЕНТИ И СТИМУЛИ В ОБЛАСТТА НА </w:t>
      </w:r>
      <w:sdt>
        <w:sdtPr>
          <w:tag w:val="goog_rdk_0"/>
          <w:id w:val="-240639321"/>
        </w:sdtPr>
        <w:sdtContent/>
      </w:sdt>
      <w:r>
        <w:rPr>
          <w:rFonts w:ascii="Palatino Linotype" w:eastAsia="Palatino Linotype" w:hAnsi="Palatino Linotype" w:cs="Palatino Linotype"/>
        </w:rPr>
        <w:t>УПРАВЛЕНИЕ НА ОТПАДЪЦИТЕ И ЕФЕКТИВНОСТТА ОТ ДЕЙСТВИЕТО ИМ</w:t>
      </w:r>
    </w:p>
    <w:p w:rsidR="005941C9" w:rsidRDefault="005941C9">
      <w:pPr>
        <w:spacing w:after="0" w:line="240" w:lineRule="auto"/>
        <w:jc w:val="both"/>
        <w:rPr>
          <w:rFonts w:ascii="Palatino Linotype" w:eastAsia="Palatino Linotype" w:hAnsi="Palatino Linotype" w:cs="Palatino Linotype"/>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spacing w:after="0" w:line="240" w:lineRule="auto"/>
        <w:jc w:val="both"/>
        <w:rPr>
          <w:rFonts w:ascii="Palatino Linotype" w:eastAsia="Palatino Linotype" w:hAnsi="Palatino Linotype" w:cs="Palatino Linotype"/>
          <w:b/>
        </w:rPr>
      </w:pPr>
    </w:p>
    <w:p w:rsidR="005941C9" w:rsidRDefault="005941C9">
      <w:pPr>
        <w:pBdr>
          <w:bottom w:val="single" w:sz="12" w:space="1" w:color="C45911"/>
        </w:pBdr>
        <w:spacing w:after="0" w:line="240" w:lineRule="auto"/>
        <w:jc w:val="both"/>
        <w:rPr>
          <w:rFonts w:ascii="Palatino Linotype" w:eastAsia="Palatino Linotype" w:hAnsi="Palatino Linotype" w:cs="Palatino Linotype"/>
          <w:b/>
        </w:rPr>
      </w:pPr>
    </w:p>
    <w:p w:rsidR="005941C9" w:rsidRDefault="00A77877">
      <w:pPr>
        <w:pBdr>
          <w:bottom w:val="single" w:sz="12" w:space="1" w:color="C45911"/>
        </w:pBdr>
        <w:spacing w:after="0" w:line="240" w:lineRule="auto"/>
        <w:jc w:val="both"/>
        <w:rPr>
          <w:rFonts w:ascii="Palatino Linotype" w:eastAsia="Palatino Linotype" w:hAnsi="Palatino Linotype" w:cs="Palatino Linotype"/>
          <w:b/>
        </w:rPr>
      </w:pPr>
      <w:r>
        <w:rPr>
          <w:rFonts w:ascii="Palatino Linotype" w:eastAsia="Palatino Linotype" w:hAnsi="Palatino Linotype" w:cs="Palatino Linotype"/>
          <w:b/>
        </w:rPr>
        <w:t>4.10. АНАЛИЗ НА ИКОНОМИЧЕСКИТЕ ИНСТРУМЕНТИ И СТИМУЛИ В ОБЛАСТТА НА УПРАВЛЕНИЕТО НА ОТПАДЪЦИТЕ И ЕФЕКТИВНОСТТА ОТ ДЕЙСТВИЕТО ИМ</w:t>
      </w:r>
    </w:p>
    <w:p w:rsidR="005941C9" w:rsidRDefault="005941C9"/>
    <w:p w:rsidR="005941C9" w:rsidRDefault="00A77877">
      <w:pPr>
        <w:rPr>
          <w:rFonts w:ascii="Palatino Linotype" w:eastAsia="Palatino Linotype" w:hAnsi="Palatino Linotype" w:cs="Palatino Linotype"/>
          <w:b/>
        </w:rPr>
      </w:pPr>
      <w:r>
        <w:rPr>
          <w:rFonts w:ascii="Palatino Linotype" w:eastAsia="Palatino Linotype" w:hAnsi="Palatino Linotype" w:cs="Palatino Linotype"/>
          <w:b/>
        </w:rPr>
        <w:t>Въведение</w:t>
      </w:r>
    </w:p>
    <w:p w:rsidR="005941C9" w:rsidRDefault="00A77877">
      <w:pPr>
        <w:pBdr>
          <w:top w:val="nil"/>
          <w:left w:val="nil"/>
          <w:bottom w:val="nil"/>
          <w:right w:val="nil"/>
          <w:between w:val="nil"/>
        </w:pBdr>
        <w:spacing w:after="0" w:line="276" w:lineRule="auto"/>
        <w:rPr>
          <w:rFonts w:ascii="Palatino Linotype" w:eastAsia="Palatino Linotype" w:hAnsi="Palatino Linotype" w:cs="Palatino Linotype"/>
          <w:color w:val="000000"/>
        </w:rPr>
      </w:pPr>
      <w:r>
        <w:rPr>
          <w:rFonts w:ascii="Palatino Linotype" w:eastAsia="Palatino Linotype" w:hAnsi="Palatino Linotype" w:cs="Palatino Linotype"/>
          <w:color w:val="000000"/>
        </w:rPr>
        <w:t>Настоящият анализ е изготвен с цел да даде отговор на следните въпроси:</w:t>
      </w:r>
    </w:p>
    <w:p w:rsidR="005941C9" w:rsidRDefault="00A77877">
      <w:pPr>
        <w:numPr>
          <w:ilvl w:val="0"/>
          <w:numId w:val="11"/>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Кои са икономическите инструменти и стимули, които се прилагат в общината;</w:t>
      </w:r>
    </w:p>
    <w:p w:rsidR="005941C9" w:rsidRDefault="00A77877">
      <w:pPr>
        <w:numPr>
          <w:ilvl w:val="0"/>
          <w:numId w:val="11"/>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Какви са общите приходи от ТБО и каква е структурата и събираемостта на приходите от такса битови отпадъци за периода най-малко на последната общинска програма за управление на отпадъците; прилагат ли се стимулиращи елементи за екологосъобразно управление на отпадъците при определяне на размера на ТБО;</w:t>
      </w:r>
    </w:p>
    <w:p w:rsidR="005941C9" w:rsidRDefault="00A77877">
      <w:pPr>
        <w:numPr>
          <w:ilvl w:val="0"/>
          <w:numId w:val="11"/>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Какви са дължимите суми за обезпеченията и отчисленията по чл. 60 и чл. 64 от ЗУО и каква е степента на заплащане на дължимите суми по тези обезпечения и отчисления; какви суми са акумулирани по сметките в РИОСВ за периода най-малко на последната общинска програма за управление на отпадъците</w:t>
      </w:r>
    </w:p>
    <w:p w:rsidR="005941C9" w:rsidRDefault="00A77877">
      <w:pPr>
        <w:numPr>
          <w:ilvl w:val="0"/>
          <w:numId w:val="11"/>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Какъв подход се прилага от общината за определяне на размера на цените и на таксите за услуги за управление на битовите отпадъци.</w:t>
      </w:r>
    </w:p>
    <w:p w:rsidR="005941C9" w:rsidRDefault="005941C9">
      <w:pPr>
        <w:pBdr>
          <w:top w:val="nil"/>
          <w:left w:val="nil"/>
          <w:bottom w:val="nil"/>
          <w:right w:val="nil"/>
          <w:between w:val="nil"/>
        </w:pBdr>
        <w:spacing w:after="0"/>
        <w:ind w:left="720"/>
        <w:jc w:val="both"/>
        <w:rPr>
          <w:rFonts w:ascii="Palatino Linotype" w:eastAsia="Palatino Linotype" w:hAnsi="Palatino Linotype" w:cs="Palatino Linotype"/>
          <w:color w:val="000000"/>
        </w:rPr>
      </w:pPr>
    </w:p>
    <w:p w:rsidR="005941C9" w:rsidRDefault="00A77877">
      <w:pPr>
        <w:numPr>
          <w:ilvl w:val="2"/>
          <w:numId w:val="7"/>
        </w:numPr>
        <w:pBdr>
          <w:top w:val="nil"/>
          <w:left w:val="nil"/>
          <w:bottom w:val="single" w:sz="4" w:space="1" w:color="000000"/>
          <w:right w:val="nil"/>
          <w:between w:val="nil"/>
        </w:pBdr>
        <w:tabs>
          <w:tab w:val="left" w:pos="142"/>
        </w:tabs>
        <w:spacing w:after="0"/>
        <w:jc w:val="both"/>
        <w:rPr>
          <w:rFonts w:ascii="Palatino Linotype" w:eastAsia="Palatino Linotype" w:hAnsi="Palatino Linotype" w:cs="Palatino Linotype"/>
          <w:b/>
          <w:color w:val="000000"/>
        </w:rPr>
      </w:pPr>
      <w:r>
        <w:rPr>
          <w:rFonts w:ascii="Palatino Linotype" w:eastAsia="Palatino Linotype" w:hAnsi="Palatino Linotype" w:cs="Palatino Linotype"/>
          <w:b/>
          <w:color w:val="000000"/>
        </w:rPr>
        <w:t>Анализ на Икономически инструменти и стимули в сектора на управлението на отпадъците</w:t>
      </w:r>
    </w:p>
    <w:p w:rsidR="005941C9" w:rsidRDefault="00A77877">
      <w:pPr>
        <w:numPr>
          <w:ilvl w:val="0"/>
          <w:numId w:val="8"/>
        </w:numPr>
        <w:pBdr>
          <w:top w:val="nil"/>
          <w:left w:val="nil"/>
          <w:bottom w:val="nil"/>
          <w:right w:val="nil"/>
          <w:between w:val="nil"/>
        </w:pBdr>
        <w:tabs>
          <w:tab w:val="left" w:pos="284"/>
        </w:tabs>
        <w:ind w:left="0" w:firstLine="0"/>
        <w:jc w:val="both"/>
        <w:rPr>
          <w:rFonts w:ascii="Palatino Linotype" w:eastAsia="Palatino Linotype" w:hAnsi="Palatino Linotype" w:cs="Palatino Linotype"/>
          <w:b/>
          <w:color w:val="000000"/>
        </w:rPr>
      </w:pPr>
      <w:r>
        <w:rPr>
          <w:rFonts w:ascii="Palatino Linotype" w:eastAsia="Palatino Linotype" w:hAnsi="Palatino Linotype" w:cs="Palatino Linotype"/>
          <w:b/>
          <w:color w:val="000000"/>
        </w:rPr>
        <w:t>Икономическите инструменти и стимули в сектора за управление на отпадъците</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Икономическите инструменти в сектора за управление на отпадъците са механизми, въведени от държавата, които правят по-изгодно за населението и бизнеса да рециклират и оползотворяват отпадъци, вместо да ги депонират. Най-общо икономическите инструменти могат да бъдат обединени в няколко групи:</w:t>
      </w:r>
    </w:p>
    <w:p w:rsidR="005941C9" w:rsidRDefault="00A77877">
      <w:pPr>
        <w:spacing w:line="276" w:lineRule="auto"/>
        <w:ind w:left="567"/>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Такса за депониране на битови отпадъци. Тази група инструменти включва разнообразни такси за депониране на отпадъци на депа, такси за изгаряне на отпадъци в инсинератори, както и различни по вид забрани за депониране и изгаряне на отпадъци;</w:t>
      </w:r>
    </w:p>
    <w:p w:rsidR="005941C9" w:rsidRDefault="00A77877">
      <w:pPr>
        <w:spacing w:line="276" w:lineRule="auto"/>
        <w:ind w:left="567"/>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Схеми плащане при изхвърляне. Това са инструменти, при които населението и бизнеса заплащат за събирането, извозването и третирането на генерираните от тях отпадъци. Тези схеми са пряко свързани с количеството на генерираните от съответните лица отпадъци, като те заплащат на кг/чувал/контейнер и т.н.</w:t>
      </w:r>
    </w:p>
    <w:p w:rsidR="005941C9" w:rsidRDefault="00A77877">
      <w:pPr>
        <w:spacing w:line="276" w:lineRule="auto"/>
        <w:ind w:left="567"/>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 xml:space="preserve">Схема за отговорност на производителя и вносителя. Това са схеми, при които производителите и вносителите на дадени продукти, чиято употреба създава масово </w:t>
      </w:r>
      <w:bookmarkStart w:id="0" w:name="_GoBack"/>
      <w:r>
        <w:rPr>
          <w:rFonts w:ascii="Palatino Linotype" w:eastAsia="Palatino Linotype" w:hAnsi="Palatino Linotype" w:cs="Palatino Linotype"/>
        </w:rPr>
        <w:lastRenderedPageBreak/>
        <w:t>разпространени отпадъци, се задължават за финансиране и организиране на дейностите по оползотворяване на тези отпадъци;</w:t>
      </w:r>
    </w:p>
    <w:p w:rsidR="005941C9" w:rsidRDefault="00A77877">
      <w:pPr>
        <w:ind w:left="567"/>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Банкови гаранции и застраховки – въвеждат се с цел покриване на риска от извършване на определени дейности, например за трансграничен превоз на отпадъци.</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Възприетият подход за финансиране на дейностите по управление на отпадъците се основава на принципа „замърсителят плаща”, който се въвежда с такса „Битови отпадъци” за населението, на основание чл. 62 и чл. 63 от Закона за местните данъци и такси (ЗМДТ). Общинският съвет на съответната община определя размера на такса „Битови отпадъци” за дейностите, предвидени със ЗМДТ. Общинският съвет приема наредба за определянето и администрирането на местните такси и цени на услуги, в т.ч. и таксата „Битови отпадъци”, на основание чл. 9 от ЗМДТ.</w:t>
      </w:r>
    </w:p>
    <w:bookmarkEnd w:id="0"/>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Съгласно НАРЕДБА за определяне и администриране на местни такси и цени на услуги, предоставяни от Столична община, приета с Решение № 894 по Протокол № 93 от 23.11.2006 г. на Столичния общински съвет, последно изменена и допълнена с Решение № 49 по Протокол № 27 от 28.01.2021 г., таксата за битови отпадъци се определя в годишен размер с решение на Столичния общински съвет ежегодно въз основа на одобрена план-сметка, включваща необходимите разходи за всяка дейност поотделно.</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Размерът на такса битови отпадъци се определя както следва:</w:t>
      </w:r>
    </w:p>
    <w:p w:rsidR="005941C9" w:rsidRDefault="00A77877">
      <w:pPr>
        <w:numPr>
          <w:ilvl w:val="0"/>
          <w:numId w:val="1"/>
        </w:numPr>
        <w:pBdr>
          <w:top w:val="nil"/>
          <w:left w:val="nil"/>
          <w:bottom w:val="nil"/>
          <w:right w:val="nil"/>
          <w:between w:val="nil"/>
        </w:pBdr>
        <w:spacing w:after="0"/>
        <w:ind w:left="0" w:firstLine="284"/>
        <w:jc w:val="both"/>
        <w:rPr>
          <w:rFonts w:ascii="Palatino Linotype" w:eastAsia="Palatino Linotype" w:hAnsi="Palatino Linotype" w:cs="Palatino Linotype"/>
          <w:b/>
          <w:color w:val="000000"/>
        </w:rPr>
      </w:pPr>
      <w:r>
        <w:rPr>
          <w:rFonts w:ascii="Palatino Linotype" w:eastAsia="Palatino Linotype" w:hAnsi="Palatino Linotype" w:cs="Palatino Linotype"/>
          <w:b/>
          <w:color w:val="000000"/>
        </w:rPr>
        <w:t>Такса за битови отпадъци за нежилищни имоти на предприятията се определя:</w:t>
      </w:r>
    </w:p>
    <w:p w:rsidR="005941C9" w:rsidRDefault="00A77877">
      <w:pPr>
        <w:numPr>
          <w:ilvl w:val="0"/>
          <w:numId w:val="2"/>
        </w:numPr>
        <w:pBdr>
          <w:top w:val="nil"/>
          <w:left w:val="nil"/>
          <w:bottom w:val="nil"/>
          <w:right w:val="nil"/>
          <w:between w:val="nil"/>
        </w:pBdr>
        <w:spacing w:after="0" w:line="276" w:lineRule="auto"/>
        <w:ind w:left="851"/>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според количеството на битовите отпадъци съобразно вида и броя на съдовете за съхраняването им и честотата на сметоизвозване. За определяне на размера на ТБО по този ред, предприятията подават декларация за вида и броя на съдовете за съхраняване на битови отпадъци, които ще се използват през годината. Столичният общински съвет определя размера на таксата за битови отпадъци на един съд за една година за всеки район на Столична община при определена честота на сметоизвозване в левове, в зависимост от вида и обема на съда, като цена на услугите по сметосъбиране и сметоизвозване, и обезвреждане в депа или други съоръжения на битовите отпадъци.</w:t>
      </w:r>
      <w:r>
        <w:rPr>
          <w:color w:val="000000"/>
        </w:rPr>
        <w:t xml:space="preserve"> </w:t>
      </w:r>
      <w:r>
        <w:rPr>
          <w:rFonts w:ascii="Palatino Linotype" w:eastAsia="Palatino Linotype" w:hAnsi="Palatino Linotype" w:cs="Palatino Linotype"/>
          <w:color w:val="000000"/>
        </w:rPr>
        <w:t>Освен това, предприятията заплащат и такса за услугата по поддържане на чистотата на териториите за обществено ползване в размер, пропорционален в промили на отчетната стойност на имотите.</w:t>
      </w:r>
    </w:p>
    <w:p w:rsidR="005941C9" w:rsidRDefault="00A77877">
      <w:pPr>
        <w:numPr>
          <w:ilvl w:val="0"/>
          <w:numId w:val="2"/>
        </w:numPr>
        <w:pBdr>
          <w:top w:val="nil"/>
          <w:left w:val="nil"/>
          <w:bottom w:val="nil"/>
          <w:right w:val="nil"/>
          <w:between w:val="nil"/>
        </w:pBdr>
        <w:spacing w:after="0" w:line="276" w:lineRule="auto"/>
        <w:ind w:left="851"/>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чрез пряко договаряне. При него предприятията имат възможност да извършват пряко договаряне организации извършващи  услугата по сметосъбиране и сметоизвозване. В допълнение предприятията заплащат и  такса за обезвреждане на битовите отпадъци в депа или други съоръжения и за поддържане чистотата на териториите за обществено ползване в размер пропорционален в промили на отчетната стойност на имотите на предприятията.</w:t>
      </w:r>
    </w:p>
    <w:p w:rsidR="005941C9" w:rsidRDefault="00A77877">
      <w:pPr>
        <w:numPr>
          <w:ilvl w:val="0"/>
          <w:numId w:val="2"/>
        </w:numPr>
        <w:pBdr>
          <w:top w:val="nil"/>
          <w:left w:val="nil"/>
          <w:bottom w:val="nil"/>
          <w:right w:val="nil"/>
          <w:between w:val="nil"/>
        </w:pBdr>
        <w:spacing w:after="0" w:line="276" w:lineRule="auto"/>
        <w:ind w:left="851"/>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пропорционално в промили. При изчисляване на ТБО по този метод се прилага подхода при изчисляване на ТБО за имоти на граждани и жилищни имоти на предприятия, като се определят промили за сметосъбиране и сметоизвозване, за обезвреждане на битови отпадъци в депа или други съоръжения и за поддържане чистотата на териториите за обществено ползване.</w:t>
      </w:r>
    </w:p>
    <w:p w:rsidR="005941C9" w:rsidRDefault="005941C9">
      <w:pPr>
        <w:pBdr>
          <w:top w:val="nil"/>
          <w:left w:val="nil"/>
          <w:bottom w:val="nil"/>
          <w:right w:val="nil"/>
          <w:between w:val="nil"/>
        </w:pBdr>
        <w:spacing w:after="0" w:line="276" w:lineRule="auto"/>
        <w:ind w:left="851"/>
        <w:jc w:val="both"/>
        <w:rPr>
          <w:rFonts w:ascii="Palatino Linotype" w:eastAsia="Palatino Linotype" w:hAnsi="Palatino Linotype" w:cs="Palatino Linotype"/>
          <w:color w:val="000000"/>
        </w:rPr>
      </w:pPr>
    </w:p>
    <w:p w:rsidR="005941C9" w:rsidRDefault="00A77877">
      <w:pPr>
        <w:numPr>
          <w:ilvl w:val="0"/>
          <w:numId w:val="1"/>
        </w:numPr>
        <w:pBdr>
          <w:top w:val="nil"/>
          <w:left w:val="nil"/>
          <w:bottom w:val="nil"/>
          <w:right w:val="nil"/>
          <w:between w:val="nil"/>
        </w:pBdr>
        <w:spacing w:after="0"/>
        <w:ind w:left="0" w:firstLine="284"/>
        <w:jc w:val="both"/>
        <w:rPr>
          <w:rFonts w:ascii="Palatino Linotype" w:eastAsia="Palatino Linotype" w:hAnsi="Palatino Linotype" w:cs="Palatino Linotype"/>
          <w:b/>
          <w:color w:val="000000"/>
        </w:rPr>
      </w:pPr>
      <w:r>
        <w:rPr>
          <w:rFonts w:ascii="Palatino Linotype" w:eastAsia="Palatino Linotype" w:hAnsi="Palatino Linotype" w:cs="Palatino Linotype"/>
          <w:b/>
          <w:color w:val="000000"/>
        </w:rPr>
        <w:t xml:space="preserve">Таксата за битови отпадъци за имоти на граждани и жилищни имоти на предприятия се определя пропорционално в промили на база данъчната оценка на имотите, като разпределянето на размера на промила по видове услуги е, както следва: </w:t>
      </w:r>
    </w:p>
    <w:p w:rsidR="005941C9" w:rsidRDefault="00A77877">
      <w:pPr>
        <w:numPr>
          <w:ilvl w:val="0"/>
          <w:numId w:val="3"/>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 сметосъбиране и сметоизвозване;</w:t>
      </w:r>
    </w:p>
    <w:p w:rsidR="005941C9" w:rsidRDefault="00A77877">
      <w:pPr>
        <w:numPr>
          <w:ilvl w:val="0"/>
          <w:numId w:val="3"/>
        </w:numPr>
        <w:pBdr>
          <w:top w:val="nil"/>
          <w:left w:val="nil"/>
          <w:bottom w:val="nil"/>
          <w:right w:val="nil"/>
          <w:between w:val="nil"/>
        </w:pBdr>
        <w:tabs>
          <w:tab w:val="left" w:pos="3261"/>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 обезвреждане на битови отпадъци в депа или други съоръжения;</w:t>
      </w:r>
    </w:p>
    <w:p w:rsidR="005941C9" w:rsidRDefault="00A77877">
      <w:pPr>
        <w:numPr>
          <w:ilvl w:val="0"/>
          <w:numId w:val="3"/>
        </w:numPr>
        <w:pBdr>
          <w:top w:val="nil"/>
          <w:left w:val="nil"/>
          <w:bottom w:val="nil"/>
          <w:right w:val="nil"/>
          <w:between w:val="nil"/>
        </w:pBd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 поддържане чистотата на териториите за обществено ползване.</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С Решение № 626 по Протокол № 25 от 17.12.2020 г. Столичния общински съвет приема План-сметка за 2021 година за дейностите по събиране, извозване, обезвреждане в депа или други съоръжения на битовите отпадъци и за поддържане на чистотата на териториите за обществено ползване и определя размер на такса за битови отпадъци за 2021 година по Наредбата за определяне и администриране на местни такси и цени на услуги, предоставяни от Столична община.</w:t>
      </w:r>
    </w:p>
    <w:p w:rsidR="005941C9" w:rsidRDefault="00A77877">
      <w:pPr>
        <w:numPr>
          <w:ilvl w:val="0"/>
          <w:numId w:val="4"/>
        </w:numPr>
        <w:pBdr>
          <w:top w:val="nil"/>
          <w:left w:val="nil"/>
          <w:bottom w:val="nil"/>
          <w:right w:val="nil"/>
          <w:between w:val="nil"/>
        </w:pBdr>
        <w:spacing w:after="0" w:line="276" w:lineRule="auto"/>
        <w:jc w:val="both"/>
        <w:rPr>
          <w:rFonts w:ascii="Palatino Linotype" w:eastAsia="Palatino Linotype" w:hAnsi="Palatino Linotype" w:cs="Palatino Linotype"/>
          <w:i/>
          <w:color w:val="000000"/>
        </w:rPr>
      </w:pPr>
      <w:r>
        <w:rPr>
          <w:rFonts w:ascii="Palatino Linotype" w:eastAsia="Palatino Linotype" w:hAnsi="Palatino Linotype" w:cs="Palatino Linotype"/>
          <w:i/>
          <w:color w:val="000000"/>
        </w:rPr>
        <w:t xml:space="preserve">Такса за битови отпадъци за нежилищни имоти на предприятията </w:t>
      </w:r>
    </w:p>
    <w:p w:rsidR="005941C9" w:rsidRDefault="00A77877">
      <w:pPr>
        <w:numPr>
          <w:ilvl w:val="1"/>
          <w:numId w:val="4"/>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 Според  количеството на битовите отпадъци съобразно вида и броя на съдовете за съхраняването им и честотата на сметоизвозване.</w:t>
      </w:r>
    </w:p>
    <w:p w:rsidR="005941C9" w:rsidRDefault="00A77877">
      <w:pPr>
        <w:numPr>
          <w:ilvl w:val="0"/>
          <w:numId w:val="6"/>
        </w:numPr>
        <w:pBdr>
          <w:top w:val="nil"/>
          <w:left w:val="nil"/>
          <w:bottom w:val="nil"/>
          <w:right w:val="nil"/>
          <w:between w:val="nil"/>
        </w:pBdr>
        <w:spacing w:line="276" w:lineRule="auto"/>
        <w:ind w:left="0" w:firstLine="36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 1 съд за 1 година, в лева, при честота на сметоизвозване един път седмично, </w:t>
      </w:r>
    </w:p>
    <w:tbl>
      <w:tblPr>
        <w:tblStyle w:val="a"/>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2268"/>
        <w:gridCol w:w="2551"/>
      </w:tblGrid>
      <w:tr w:rsidR="005941C9">
        <w:trPr>
          <w:tblHeader/>
        </w:trPr>
        <w:tc>
          <w:tcPr>
            <w:tcW w:w="4390" w:type="dxa"/>
            <w:shd w:val="clear" w:color="auto" w:fill="ACB9CA"/>
          </w:tcPr>
          <w:p w:rsidR="005941C9" w:rsidRDefault="00A77877">
            <w:pPr>
              <w:jc w:val="both"/>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Район</w:t>
            </w:r>
          </w:p>
        </w:tc>
        <w:tc>
          <w:tcPr>
            <w:tcW w:w="2268" w:type="dxa"/>
            <w:shd w:val="clear" w:color="auto" w:fill="ACB9CA"/>
          </w:tcPr>
          <w:p w:rsidR="005941C9" w:rsidRDefault="00A77877">
            <w:pPr>
              <w:jc w:val="both"/>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1100 л</w:t>
            </w:r>
          </w:p>
        </w:tc>
        <w:tc>
          <w:tcPr>
            <w:tcW w:w="2551" w:type="dxa"/>
            <w:shd w:val="clear" w:color="auto" w:fill="ACB9CA"/>
          </w:tcPr>
          <w:p w:rsidR="005941C9" w:rsidRDefault="00A77877">
            <w:pPr>
              <w:jc w:val="both"/>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 xml:space="preserve">Контейнери 3,5 куб. м. </w:t>
            </w:r>
          </w:p>
          <w:p w:rsidR="005941C9" w:rsidRDefault="00A77877">
            <w:pPr>
              <w:jc w:val="both"/>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4 куб. м</w:t>
            </w:r>
          </w:p>
        </w:tc>
      </w:tr>
      <w:tr w:rsidR="005941C9">
        <w:tc>
          <w:tcPr>
            <w:tcW w:w="4390" w:type="dxa"/>
            <w:tcBorders>
              <w:top w:val="nil"/>
              <w:left w:val="single" w:sz="8" w:space="0" w:color="000000"/>
              <w:bottom w:val="single" w:sz="8" w:space="0" w:color="000000"/>
              <w:right w:val="single" w:sz="8" w:space="0" w:color="000000"/>
            </w:tcBorders>
            <w:shd w:val="clear" w:color="auto" w:fill="FFFFFF"/>
          </w:tcPr>
          <w:p w:rsidR="005941C9" w:rsidRDefault="00A77877">
            <w:pPr>
              <w:ind w:left="4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Средец</w:t>
            </w:r>
          </w:p>
        </w:tc>
        <w:tc>
          <w:tcPr>
            <w:tcW w:w="2268"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r w:rsidR="005941C9">
        <w:tc>
          <w:tcPr>
            <w:tcW w:w="4390" w:type="dxa"/>
            <w:tcBorders>
              <w:top w:val="nil"/>
              <w:left w:val="single" w:sz="8" w:space="0" w:color="000000"/>
              <w:bottom w:val="single" w:sz="8" w:space="0" w:color="000000"/>
              <w:right w:val="single" w:sz="8" w:space="0" w:color="000000"/>
            </w:tcBorders>
            <w:shd w:val="clear" w:color="auto" w:fill="FFFFFF"/>
          </w:tcPr>
          <w:p w:rsidR="005941C9" w:rsidRDefault="00A77877">
            <w:pPr>
              <w:ind w:left="3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Красно село</w:t>
            </w:r>
          </w:p>
        </w:tc>
        <w:tc>
          <w:tcPr>
            <w:tcW w:w="2268"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r w:rsidR="005941C9">
        <w:tc>
          <w:tcPr>
            <w:tcW w:w="4390" w:type="dxa"/>
            <w:tcBorders>
              <w:top w:val="nil"/>
              <w:left w:val="single" w:sz="8" w:space="0" w:color="000000"/>
              <w:bottom w:val="single" w:sz="8" w:space="0" w:color="000000"/>
              <w:right w:val="single" w:sz="8" w:space="0" w:color="000000"/>
            </w:tcBorders>
            <w:shd w:val="clear" w:color="auto" w:fill="FFFFFF"/>
          </w:tcPr>
          <w:p w:rsidR="005941C9" w:rsidRDefault="00A77877">
            <w:pPr>
              <w:ind w:left="4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Възраждане</w:t>
            </w:r>
          </w:p>
        </w:tc>
        <w:tc>
          <w:tcPr>
            <w:tcW w:w="2268"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r w:rsidR="005941C9">
        <w:tc>
          <w:tcPr>
            <w:tcW w:w="4390" w:type="dxa"/>
            <w:tcBorders>
              <w:top w:val="nil"/>
              <w:left w:val="single" w:sz="8" w:space="0" w:color="000000"/>
              <w:bottom w:val="single" w:sz="8" w:space="0" w:color="000000"/>
              <w:right w:val="single" w:sz="8" w:space="0" w:color="000000"/>
            </w:tcBorders>
            <w:shd w:val="clear" w:color="auto" w:fill="FFFFFF"/>
          </w:tcPr>
          <w:p w:rsidR="005941C9" w:rsidRDefault="00A77877">
            <w:pPr>
              <w:ind w:left="4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Оборище</w:t>
            </w:r>
          </w:p>
        </w:tc>
        <w:tc>
          <w:tcPr>
            <w:tcW w:w="2268"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r w:rsidR="005941C9">
        <w:tc>
          <w:tcPr>
            <w:tcW w:w="4390" w:type="dxa"/>
            <w:tcBorders>
              <w:top w:val="nil"/>
              <w:left w:val="single" w:sz="8" w:space="0" w:color="000000"/>
              <w:bottom w:val="single" w:sz="8" w:space="0" w:color="000000"/>
              <w:right w:val="single" w:sz="8" w:space="0" w:color="000000"/>
            </w:tcBorders>
            <w:shd w:val="clear" w:color="auto" w:fill="FFFFFF"/>
          </w:tcPr>
          <w:p w:rsidR="005941C9" w:rsidRDefault="00A77877">
            <w:pPr>
              <w:ind w:left="4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Сердика</w:t>
            </w:r>
          </w:p>
        </w:tc>
        <w:tc>
          <w:tcPr>
            <w:tcW w:w="2268"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r w:rsidR="005941C9">
        <w:tc>
          <w:tcPr>
            <w:tcW w:w="4390" w:type="dxa"/>
            <w:tcBorders>
              <w:top w:val="nil"/>
              <w:left w:val="single" w:sz="8" w:space="0" w:color="000000"/>
              <w:bottom w:val="single" w:sz="8" w:space="0" w:color="000000"/>
              <w:right w:val="single" w:sz="8" w:space="0" w:color="000000"/>
            </w:tcBorders>
            <w:shd w:val="clear" w:color="auto" w:fill="FFFFFF"/>
          </w:tcPr>
          <w:p w:rsidR="005941C9" w:rsidRDefault="00A77877">
            <w:pPr>
              <w:ind w:left="4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Подуяне</w:t>
            </w:r>
          </w:p>
        </w:tc>
        <w:tc>
          <w:tcPr>
            <w:tcW w:w="2268"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r w:rsidR="005941C9">
        <w:tc>
          <w:tcPr>
            <w:tcW w:w="4390" w:type="dxa"/>
            <w:tcBorders>
              <w:top w:val="nil"/>
              <w:left w:val="single" w:sz="8" w:space="0" w:color="000000"/>
              <w:bottom w:val="single" w:sz="8" w:space="0" w:color="000000"/>
              <w:right w:val="single" w:sz="8" w:space="0" w:color="000000"/>
            </w:tcBorders>
            <w:shd w:val="clear" w:color="auto" w:fill="FFFFFF"/>
          </w:tcPr>
          <w:p w:rsidR="005941C9" w:rsidRDefault="00A77877">
            <w:pPr>
              <w:ind w:left="4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Слатина</w:t>
            </w:r>
          </w:p>
        </w:tc>
        <w:tc>
          <w:tcPr>
            <w:tcW w:w="2268"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r w:rsidR="005941C9">
        <w:tc>
          <w:tcPr>
            <w:tcW w:w="4390" w:type="dxa"/>
            <w:tcBorders>
              <w:top w:val="nil"/>
              <w:left w:val="single" w:sz="8" w:space="0" w:color="000000"/>
              <w:bottom w:val="single" w:sz="8" w:space="0" w:color="000000"/>
              <w:right w:val="single" w:sz="8" w:space="0" w:color="000000"/>
            </w:tcBorders>
            <w:shd w:val="clear" w:color="auto" w:fill="FFFFFF"/>
          </w:tcPr>
          <w:p w:rsidR="005941C9" w:rsidRDefault="00A77877">
            <w:pPr>
              <w:ind w:left="3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Изгрев</w:t>
            </w:r>
          </w:p>
        </w:tc>
        <w:tc>
          <w:tcPr>
            <w:tcW w:w="2268"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r w:rsidR="005941C9">
        <w:tc>
          <w:tcPr>
            <w:tcW w:w="4390" w:type="dxa"/>
            <w:tcBorders>
              <w:top w:val="nil"/>
              <w:left w:val="single" w:sz="8" w:space="0" w:color="000000"/>
              <w:bottom w:val="single" w:sz="8" w:space="0" w:color="000000"/>
              <w:right w:val="single" w:sz="8" w:space="0" w:color="000000"/>
            </w:tcBorders>
            <w:shd w:val="clear" w:color="auto" w:fill="FFFFFF"/>
          </w:tcPr>
          <w:p w:rsidR="005941C9" w:rsidRDefault="00A77877">
            <w:pPr>
              <w:ind w:left="3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Лозенец</w:t>
            </w:r>
          </w:p>
        </w:tc>
        <w:tc>
          <w:tcPr>
            <w:tcW w:w="2268"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r w:rsidR="005941C9">
        <w:tc>
          <w:tcPr>
            <w:tcW w:w="4390" w:type="dxa"/>
            <w:tcBorders>
              <w:top w:val="nil"/>
              <w:left w:val="single" w:sz="8" w:space="0" w:color="000000"/>
              <w:bottom w:val="single" w:sz="8" w:space="0" w:color="000000"/>
              <w:right w:val="single" w:sz="8" w:space="0" w:color="000000"/>
            </w:tcBorders>
            <w:shd w:val="clear" w:color="auto" w:fill="FFFFFF"/>
          </w:tcPr>
          <w:p w:rsidR="005941C9" w:rsidRDefault="00A77877">
            <w:pPr>
              <w:ind w:left="3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Триадица</w:t>
            </w:r>
          </w:p>
        </w:tc>
        <w:tc>
          <w:tcPr>
            <w:tcW w:w="2268"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r w:rsidR="005941C9">
        <w:tc>
          <w:tcPr>
            <w:tcW w:w="4390" w:type="dxa"/>
            <w:tcBorders>
              <w:top w:val="nil"/>
              <w:left w:val="single" w:sz="8" w:space="0" w:color="000000"/>
              <w:bottom w:val="single" w:sz="8" w:space="0" w:color="000000"/>
              <w:right w:val="single" w:sz="8" w:space="0" w:color="000000"/>
            </w:tcBorders>
            <w:shd w:val="clear" w:color="auto" w:fill="FFFFFF"/>
          </w:tcPr>
          <w:p w:rsidR="005941C9" w:rsidRDefault="00A77877">
            <w:pPr>
              <w:ind w:left="3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Красна поляна</w:t>
            </w:r>
          </w:p>
        </w:tc>
        <w:tc>
          <w:tcPr>
            <w:tcW w:w="2268"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r w:rsidR="005941C9">
        <w:tc>
          <w:tcPr>
            <w:tcW w:w="4390" w:type="dxa"/>
            <w:tcBorders>
              <w:top w:val="nil"/>
              <w:left w:val="single" w:sz="8" w:space="0" w:color="000000"/>
              <w:bottom w:val="single" w:sz="4" w:space="0" w:color="000000"/>
              <w:right w:val="single" w:sz="8" w:space="0" w:color="000000"/>
            </w:tcBorders>
            <w:shd w:val="clear" w:color="auto" w:fill="FFFFFF"/>
          </w:tcPr>
          <w:p w:rsidR="005941C9" w:rsidRDefault="00A77877">
            <w:pPr>
              <w:ind w:left="3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Илинден</w:t>
            </w:r>
          </w:p>
        </w:tc>
        <w:tc>
          <w:tcPr>
            <w:tcW w:w="2268" w:type="dxa"/>
            <w:tcBorders>
              <w:top w:val="nil"/>
              <w:left w:val="nil"/>
              <w:bottom w:val="single" w:sz="4"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nil"/>
              <w:left w:val="nil"/>
              <w:bottom w:val="single" w:sz="4"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r w:rsidR="005941C9">
        <w:tc>
          <w:tcPr>
            <w:tcW w:w="4390" w:type="dxa"/>
            <w:tcBorders>
              <w:top w:val="single" w:sz="4" w:space="0" w:color="000000"/>
              <w:left w:val="single" w:sz="8" w:space="0" w:color="000000"/>
              <w:bottom w:val="single" w:sz="4" w:space="0" w:color="000000"/>
              <w:right w:val="single" w:sz="8" w:space="0" w:color="000000"/>
            </w:tcBorders>
            <w:shd w:val="clear" w:color="auto" w:fill="FFFFFF"/>
          </w:tcPr>
          <w:p w:rsidR="005941C9" w:rsidRDefault="00A77877">
            <w:pPr>
              <w:ind w:left="4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Надежда</w:t>
            </w:r>
          </w:p>
        </w:tc>
        <w:tc>
          <w:tcPr>
            <w:tcW w:w="2268" w:type="dxa"/>
            <w:tcBorders>
              <w:top w:val="single" w:sz="4" w:space="0" w:color="000000"/>
              <w:left w:val="nil"/>
              <w:bottom w:val="single" w:sz="4"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single" w:sz="4" w:space="0" w:color="000000"/>
              <w:left w:val="nil"/>
              <w:bottom w:val="single" w:sz="4"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r w:rsidR="005941C9">
        <w:tc>
          <w:tcPr>
            <w:tcW w:w="4390" w:type="dxa"/>
            <w:tcBorders>
              <w:top w:val="single" w:sz="4" w:space="0" w:color="000000"/>
              <w:left w:val="single" w:sz="8" w:space="0" w:color="000000"/>
              <w:bottom w:val="single" w:sz="4" w:space="0" w:color="000000"/>
              <w:right w:val="single" w:sz="8" w:space="0" w:color="000000"/>
            </w:tcBorders>
            <w:shd w:val="clear" w:color="auto" w:fill="FFFFFF"/>
          </w:tcPr>
          <w:p w:rsidR="005941C9" w:rsidRDefault="00A77877">
            <w:pPr>
              <w:ind w:left="3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Искър</w:t>
            </w:r>
          </w:p>
        </w:tc>
        <w:tc>
          <w:tcPr>
            <w:tcW w:w="2268" w:type="dxa"/>
            <w:tcBorders>
              <w:top w:val="single" w:sz="4" w:space="0" w:color="000000"/>
              <w:left w:val="nil"/>
              <w:bottom w:val="single" w:sz="4"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single" w:sz="4" w:space="0" w:color="000000"/>
              <w:left w:val="nil"/>
              <w:bottom w:val="single" w:sz="4"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r w:rsidR="005941C9">
        <w:tc>
          <w:tcPr>
            <w:tcW w:w="4390" w:type="dxa"/>
            <w:tcBorders>
              <w:top w:val="single" w:sz="4" w:space="0" w:color="000000"/>
              <w:left w:val="single" w:sz="8" w:space="0" w:color="000000"/>
              <w:bottom w:val="single" w:sz="8" w:space="0" w:color="000000"/>
              <w:right w:val="single" w:sz="8" w:space="0" w:color="000000"/>
            </w:tcBorders>
            <w:shd w:val="clear" w:color="auto" w:fill="FFFFFF"/>
          </w:tcPr>
          <w:p w:rsidR="005941C9" w:rsidRDefault="00A77877">
            <w:pPr>
              <w:ind w:left="3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Младост</w:t>
            </w:r>
          </w:p>
        </w:tc>
        <w:tc>
          <w:tcPr>
            <w:tcW w:w="2268" w:type="dxa"/>
            <w:tcBorders>
              <w:top w:val="single" w:sz="4" w:space="0" w:color="000000"/>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single" w:sz="4" w:space="0" w:color="000000"/>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r w:rsidR="005941C9">
        <w:tc>
          <w:tcPr>
            <w:tcW w:w="4390" w:type="dxa"/>
            <w:tcBorders>
              <w:top w:val="nil"/>
              <w:left w:val="single" w:sz="8" w:space="0" w:color="000000"/>
              <w:bottom w:val="single" w:sz="8" w:space="0" w:color="000000"/>
              <w:right w:val="single" w:sz="8" w:space="0" w:color="000000"/>
            </w:tcBorders>
            <w:shd w:val="clear" w:color="auto" w:fill="FFFFFF"/>
          </w:tcPr>
          <w:p w:rsidR="005941C9" w:rsidRDefault="00A77877">
            <w:pPr>
              <w:ind w:left="3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Студентски</w:t>
            </w:r>
          </w:p>
        </w:tc>
        <w:tc>
          <w:tcPr>
            <w:tcW w:w="2268"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r w:rsidR="005941C9">
        <w:tc>
          <w:tcPr>
            <w:tcW w:w="4390" w:type="dxa"/>
            <w:tcBorders>
              <w:top w:val="nil"/>
              <w:left w:val="single" w:sz="8" w:space="0" w:color="000000"/>
              <w:bottom w:val="single" w:sz="8" w:space="0" w:color="000000"/>
              <w:right w:val="single" w:sz="8" w:space="0" w:color="000000"/>
            </w:tcBorders>
            <w:shd w:val="clear" w:color="auto" w:fill="FFFFFF"/>
          </w:tcPr>
          <w:p w:rsidR="005941C9" w:rsidRDefault="00A77877">
            <w:pPr>
              <w:ind w:left="3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Витоша</w:t>
            </w:r>
          </w:p>
        </w:tc>
        <w:tc>
          <w:tcPr>
            <w:tcW w:w="2268"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r w:rsidR="005941C9">
        <w:tc>
          <w:tcPr>
            <w:tcW w:w="4390" w:type="dxa"/>
            <w:tcBorders>
              <w:top w:val="nil"/>
              <w:left w:val="single" w:sz="8" w:space="0" w:color="000000"/>
              <w:bottom w:val="single" w:sz="8" w:space="0" w:color="000000"/>
              <w:right w:val="single" w:sz="8" w:space="0" w:color="000000"/>
            </w:tcBorders>
            <w:shd w:val="clear" w:color="auto" w:fill="FFFFFF"/>
          </w:tcPr>
          <w:p w:rsidR="005941C9" w:rsidRDefault="00A77877">
            <w:pPr>
              <w:ind w:left="3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Овча купел</w:t>
            </w:r>
          </w:p>
        </w:tc>
        <w:tc>
          <w:tcPr>
            <w:tcW w:w="2268"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r w:rsidR="005941C9">
        <w:tc>
          <w:tcPr>
            <w:tcW w:w="4390" w:type="dxa"/>
            <w:tcBorders>
              <w:top w:val="nil"/>
              <w:left w:val="single" w:sz="8" w:space="0" w:color="000000"/>
              <w:bottom w:val="single" w:sz="8" w:space="0" w:color="000000"/>
              <w:right w:val="single" w:sz="8" w:space="0" w:color="000000"/>
            </w:tcBorders>
            <w:shd w:val="clear" w:color="auto" w:fill="FFFFFF"/>
          </w:tcPr>
          <w:p w:rsidR="005941C9" w:rsidRDefault="00A77877">
            <w:pPr>
              <w:ind w:left="3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Люлин</w:t>
            </w:r>
          </w:p>
        </w:tc>
        <w:tc>
          <w:tcPr>
            <w:tcW w:w="2268"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r w:rsidR="005941C9">
        <w:tc>
          <w:tcPr>
            <w:tcW w:w="4390" w:type="dxa"/>
            <w:tcBorders>
              <w:top w:val="nil"/>
              <w:left w:val="single" w:sz="8" w:space="0" w:color="000000"/>
              <w:bottom w:val="single" w:sz="4" w:space="0" w:color="000000"/>
              <w:right w:val="single" w:sz="8" w:space="0" w:color="000000"/>
            </w:tcBorders>
            <w:shd w:val="clear" w:color="auto" w:fill="FFFFFF"/>
          </w:tcPr>
          <w:p w:rsidR="005941C9" w:rsidRDefault="00A77877">
            <w:pPr>
              <w:ind w:left="3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Връбница</w:t>
            </w:r>
          </w:p>
        </w:tc>
        <w:tc>
          <w:tcPr>
            <w:tcW w:w="2268" w:type="dxa"/>
            <w:tcBorders>
              <w:top w:val="nil"/>
              <w:left w:val="nil"/>
              <w:bottom w:val="single" w:sz="4"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nil"/>
              <w:left w:val="nil"/>
              <w:bottom w:val="single" w:sz="4"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r w:rsidR="005941C9">
        <w:tc>
          <w:tcPr>
            <w:tcW w:w="4390" w:type="dxa"/>
            <w:tcBorders>
              <w:top w:val="single" w:sz="4" w:space="0" w:color="000000"/>
              <w:left w:val="single" w:sz="8" w:space="0" w:color="000000"/>
              <w:bottom w:val="single" w:sz="8" w:space="0" w:color="000000"/>
              <w:right w:val="single" w:sz="8" w:space="0" w:color="000000"/>
            </w:tcBorders>
            <w:shd w:val="clear" w:color="auto" w:fill="FFFFFF"/>
          </w:tcPr>
          <w:p w:rsidR="005941C9" w:rsidRDefault="00A77877">
            <w:pPr>
              <w:ind w:left="3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Нови Искър</w:t>
            </w:r>
          </w:p>
        </w:tc>
        <w:tc>
          <w:tcPr>
            <w:tcW w:w="2268" w:type="dxa"/>
            <w:tcBorders>
              <w:top w:val="single" w:sz="4" w:space="0" w:color="000000"/>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single" w:sz="4" w:space="0" w:color="000000"/>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r w:rsidR="005941C9">
        <w:tc>
          <w:tcPr>
            <w:tcW w:w="4390" w:type="dxa"/>
            <w:tcBorders>
              <w:top w:val="nil"/>
              <w:left w:val="single" w:sz="8" w:space="0" w:color="000000"/>
              <w:bottom w:val="single" w:sz="8" w:space="0" w:color="000000"/>
              <w:right w:val="single" w:sz="8" w:space="0" w:color="000000"/>
            </w:tcBorders>
            <w:shd w:val="clear" w:color="auto" w:fill="FFFFFF"/>
          </w:tcPr>
          <w:p w:rsidR="005941C9" w:rsidRDefault="00A77877">
            <w:pPr>
              <w:ind w:left="3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Кремиковци</w:t>
            </w:r>
          </w:p>
        </w:tc>
        <w:tc>
          <w:tcPr>
            <w:tcW w:w="2268"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r w:rsidR="005941C9">
        <w:tc>
          <w:tcPr>
            <w:tcW w:w="4390" w:type="dxa"/>
            <w:tcBorders>
              <w:top w:val="nil"/>
              <w:left w:val="single" w:sz="8" w:space="0" w:color="000000"/>
              <w:bottom w:val="single" w:sz="8" w:space="0" w:color="000000"/>
              <w:right w:val="single" w:sz="8" w:space="0" w:color="000000"/>
            </w:tcBorders>
            <w:shd w:val="clear" w:color="auto" w:fill="FFFFFF"/>
          </w:tcPr>
          <w:p w:rsidR="005941C9" w:rsidRDefault="00A77877">
            <w:pPr>
              <w:ind w:left="3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Панчарево</w:t>
            </w:r>
          </w:p>
        </w:tc>
        <w:tc>
          <w:tcPr>
            <w:tcW w:w="2268"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r w:rsidR="005941C9">
        <w:tc>
          <w:tcPr>
            <w:tcW w:w="4390" w:type="dxa"/>
            <w:tcBorders>
              <w:top w:val="nil"/>
              <w:left w:val="single" w:sz="8" w:space="0" w:color="000000"/>
              <w:bottom w:val="single" w:sz="8" w:space="0" w:color="000000"/>
              <w:right w:val="single" w:sz="8" w:space="0" w:color="000000"/>
            </w:tcBorders>
            <w:shd w:val="clear" w:color="auto" w:fill="FFFFFF"/>
          </w:tcPr>
          <w:p w:rsidR="005941C9" w:rsidRDefault="00A77877">
            <w:pPr>
              <w:ind w:left="38"/>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Банкя</w:t>
            </w:r>
          </w:p>
        </w:tc>
        <w:tc>
          <w:tcPr>
            <w:tcW w:w="2268"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1340</w:t>
            </w:r>
          </w:p>
        </w:tc>
        <w:tc>
          <w:tcPr>
            <w:tcW w:w="2551" w:type="dxa"/>
            <w:tcBorders>
              <w:top w:val="nil"/>
              <w:left w:val="nil"/>
              <w:bottom w:val="single" w:sz="8" w:space="0" w:color="000000"/>
              <w:right w:val="single" w:sz="8" w:space="0" w:color="000000"/>
            </w:tcBorders>
            <w:shd w:val="clear" w:color="auto" w:fill="FFFFFF"/>
          </w:tcPr>
          <w:p w:rsidR="005941C9" w:rsidRDefault="00A77877">
            <w:pPr>
              <w:jc w:val="center"/>
              <w:rPr>
                <w:rFonts w:ascii="Palatino Linotype" w:eastAsia="Palatino Linotype" w:hAnsi="Palatino Linotype" w:cs="Palatino Linotype"/>
                <w:sz w:val="20"/>
                <w:szCs w:val="20"/>
                <w:highlight w:val="white"/>
              </w:rPr>
            </w:pPr>
            <w:r>
              <w:rPr>
                <w:rFonts w:ascii="Palatino Linotype" w:eastAsia="Palatino Linotype" w:hAnsi="Palatino Linotype" w:cs="Palatino Linotype"/>
                <w:sz w:val="20"/>
                <w:szCs w:val="20"/>
                <w:highlight w:val="white"/>
              </w:rPr>
              <w:t>8030</w:t>
            </w:r>
          </w:p>
        </w:tc>
      </w:tr>
    </w:tbl>
    <w:p w:rsidR="005941C9" w:rsidRDefault="005941C9">
      <w:pPr>
        <w:jc w:val="both"/>
        <w:rPr>
          <w:rFonts w:ascii="Palatino Linotype" w:eastAsia="Palatino Linotype" w:hAnsi="Palatino Linotype" w:cs="Palatino Linotype"/>
        </w:rPr>
      </w:pPr>
    </w:p>
    <w:p w:rsidR="005941C9" w:rsidRDefault="00A77877">
      <w:pPr>
        <w:numPr>
          <w:ilvl w:val="0"/>
          <w:numId w:val="6"/>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4.30 ‰ върху отчетната стойност на имотите за услугата по поддържане на чистотата на териториите за обществено ползване в размер </w:t>
      </w:r>
    </w:p>
    <w:p w:rsidR="005941C9" w:rsidRDefault="005941C9">
      <w:pPr>
        <w:pBdr>
          <w:top w:val="nil"/>
          <w:left w:val="nil"/>
          <w:bottom w:val="nil"/>
          <w:right w:val="nil"/>
          <w:between w:val="nil"/>
        </w:pBdr>
        <w:spacing w:after="0" w:line="276" w:lineRule="auto"/>
        <w:ind w:left="720"/>
        <w:jc w:val="both"/>
        <w:rPr>
          <w:rFonts w:ascii="Palatino Linotype" w:eastAsia="Palatino Linotype" w:hAnsi="Palatino Linotype" w:cs="Palatino Linotype"/>
          <w:color w:val="000000"/>
        </w:rPr>
      </w:pPr>
    </w:p>
    <w:p w:rsidR="005941C9" w:rsidRDefault="00A77877">
      <w:pPr>
        <w:numPr>
          <w:ilvl w:val="1"/>
          <w:numId w:val="4"/>
        </w:numPr>
        <w:pBdr>
          <w:top w:val="nil"/>
          <w:left w:val="nil"/>
          <w:bottom w:val="nil"/>
          <w:right w:val="nil"/>
          <w:between w:val="nil"/>
        </w:pBdr>
        <w:tabs>
          <w:tab w:val="left" w:pos="142"/>
        </w:tabs>
        <w:spacing w:after="0" w:line="276" w:lineRule="auto"/>
        <w:ind w:left="0" w:firstLine="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чрез пряко договаряне с фирми, извършващи услугата по сметосъбиране и сметоизвозване</w:t>
      </w:r>
    </w:p>
    <w:p w:rsidR="005941C9" w:rsidRDefault="00A77877">
      <w:pPr>
        <w:numPr>
          <w:ilvl w:val="0"/>
          <w:numId w:val="6"/>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2.60 ‰ върху отчетната стойност на имотите, за обезвреждане в депа или други съоръжения на битовите отпадъци;</w:t>
      </w:r>
    </w:p>
    <w:p w:rsidR="005941C9" w:rsidRDefault="00A77877">
      <w:pPr>
        <w:numPr>
          <w:ilvl w:val="0"/>
          <w:numId w:val="6"/>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4.30 ‰ върху отчетната стойност на имотите за поддържане чистотата на териториите за обществено ползване.</w:t>
      </w:r>
    </w:p>
    <w:p w:rsidR="005941C9" w:rsidRDefault="005941C9">
      <w:pPr>
        <w:pBdr>
          <w:top w:val="nil"/>
          <w:left w:val="nil"/>
          <w:bottom w:val="nil"/>
          <w:right w:val="nil"/>
          <w:between w:val="nil"/>
        </w:pBdr>
        <w:spacing w:after="0" w:line="276" w:lineRule="auto"/>
        <w:ind w:left="720"/>
        <w:jc w:val="both"/>
        <w:rPr>
          <w:rFonts w:ascii="Palatino Linotype" w:eastAsia="Palatino Linotype" w:hAnsi="Palatino Linotype" w:cs="Palatino Linotype"/>
          <w:color w:val="000000"/>
        </w:rPr>
      </w:pPr>
    </w:p>
    <w:p w:rsidR="005941C9" w:rsidRDefault="00A77877">
      <w:pPr>
        <w:numPr>
          <w:ilvl w:val="1"/>
          <w:numId w:val="4"/>
        </w:numPr>
        <w:pBdr>
          <w:top w:val="nil"/>
          <w:left w:val="nil"/>
          <w:bottom w:val="nil"/>
          <w:right w:val="nil"/>
          <w:between w:val="nil"/>
        </w:pBdr>
        <w:tabs>
          <w:tab w:val="left" w:pos="142"/>
        </w:tabs>
        <w:spacing w:after="0" w:line="276" w:lineRule="auto"/>
        <w:ind w:left="0" w:firstLine="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пропорционално в промили на база отчетна стойност на имотите</w:t>
      </w:r>
    </w:p>
    <w:p w:rsidR="005941C9" w:rsidRDefault="00A77877">
      <w:pPr>
        <w:numPr>
          <w:ilvl w:val="0"/>
          <w:numId w:val="9"/>
        </w:numPr>
        <w:pBdr>
          <w:top w:val="nil"/>
          <w:left w:val="nil"/>
          <w:bottom w:val="nil"/>
          <w:right w:val="nil"/>
          <w:between w:val="nil"/>
        </w:pBdr>
        <w:spacing w:after="0" w:line="276" w:lineRule="auto"/>
        <w:rPr>
          <w:rFonts w:ascii="Palatino Linotype" w:eastAsia="Palatino Linotype" w:hAnsi="Palatino Linotype" w:cs="Palatino Linotype"/>
          <w:color w:val="000000"/>
        </w:rPr>
      </w:pPr>
      <w:r>
        <w:rPr>
          <w:rFonts w:ascii="Palatino Linotype" w:eastAsia="Palatino Linotype" w:hAnsi="Palatino Linotype" w:cs="Palatino Linotype"/>
          <w:color w:val="000000"/>
        </w:rPr>
        <w:t>10‰ върху отчетната стойност на имотите,</w:t>
      </w:r>
      <w:r>
        <w:rPr>
          <w:color w:val="000000"/>
        </w:rPr>
        <w:t xml:space="preserve"> </w:t>
      </w:r>
      <w:r>
        <w:rPr>
          <w:rFonts w:ascii="Palatino Linotype" w:eastAsia="Palatino Linotype" w:hAnsi="Palatino Linotype" w:cs="Palatino Linotype"/>
          <w:color w:val="000000"/>
        </w:rPr>
        <w:t>разпределена  както следва:</w:t>
      </w:r>
    </w:p>
    <w:p w:rsidR="005941C9" w:rsidRDefault="00A77877">
      <w:pPr>
        <w:numPr>
          <w:ilvl w:val="0"/>
          <w:numId w:val="10"/>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3,10 ‰ за сметосъбиране и сметоизвозване на битовите отпадъци;</w:t>
      </w:r>
    </w:p>
    <w:p w:rsidR="005941C9" w:rsidRDefault="00A77877">
      <w:pPr>
        <w:numPr>
          <w:ilvl w:val="0"/>
          <w:numId w:val="10"/>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2.60 ‰ за обезвреждане в депа или други съоръжения на битовите отпадъци;</w:t>
      </w:r>
    </w:p>
    <w:p w:rsidR="005941C9" w:rsidRDefault="00A77877">
      <w:pPr>
        <w:numPr>
          <w:ilvl w:val="0"/>
          <w:numId w:val="10"/>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4.30 ‰ за поддържане чистотата на териториите за обществено ползване</w:t>
      </w:r>
    </w:p>
    <w:p w:rsidR="005941C9" w:rsidRDefault="005941C9">
      <w:pPr>
        <w:pBdr>
          <w:top w:val="nil"/>
          <w:left w:val="nil"/>
          <w:bottom w:val="nil"/>
          <w:right w:val="nil"/>
          <w:between w:val="nil"/>
        </w:pBdr>
        <w:spacing w:after="0" w:line="276" w:lineRule="auto"/>
        <w:ind w:left="1080"/>
        <w:jc w:val="both"/>
        <w:rPr>
          <w:rFonts w:ascii="Palatino Linotype" w:eastAsia="Palatino Linotype" w:hAnsi="Palatino Linotype" w:cs="Palatino Linotype"/>
          <w:color w:val="000000"/>
        </w:rPr>
      </w:pPr>
    </w:p>
    <w:p w:rsidR="005941C9" w:rsidRDefault="00A77877">
      <w:pPr>
        <w:numPr>
          <w:ilvl w:val="0"/>
          <w:numId w:val="4"/>
        </w:numPr>
        <w:pBdr>
          <w:top w:val="nil"/>
          <w:left w:val="nil"/>
          <w:bottom w:val="nil"/>
          <w:right w:val="nil"/>
          <w:between w:val="nil"/>
        </w:pBdr>
        <w:spacing w:after="0" w:line="276" w:lineRule="auto"/>
        <w:ind w:left="0" w:firstLine="360"/>
        <w:rPr>
          <w:rFonts w:ascii="Palatino Linotype" w:eastAsia="Palatino Linotype" w:hAnsi="Palatino Linotype" w:cs="Palatino Linotype"/>
          <w:i/>
          <w:color w:val="000000"/>
        </w:rPr>
      </w:pPr>
      <w:r>
        <w:rPr>
          <w:rFonts w:ascii="Palatino Linotype" w:eastAsia="Palatino Linotype" w:hAnsi="Palatino Linotype" w:cs="Palatino Linotype"/>
          <w:color w:val="000000"/>
        </w:rPr>
        <w:t xml:space="preserve"> </w:t>
      </w:r>
      <w:r>
        <w:rPr>
          <w:rFonts w:ascii="Palatino Linotype" w:eastAsia="Palatino Linotype" w:hAnsi="Palatino Linotype" w:cs="Palatino Linotype"/>
          <w:i/>
          <w:color w:val="000000"/>
        </w:rPr>
        <w:t xml:space="preserve">Такса за битови отпадъци съгласно приетата план –сметка за 2021 г. битови отпадъци за имоти на граждани и  жилищни имоти на предприятията </w:t>
      </w:r>
    </w:p>
    <w:p w:rsidR="005941C9" w:rsidRDefault="00A77877">
      <w:pPr>
        <w:numPr>
          <w:ilvl w:val="0"/>
          <w:numId w:val="9"/>
        </w:numPr>
        <w:pBdr>
          <w:top w:val="nil"/>
          <w:left w:val="nil"/>
          <w:bottom w:val="nil"/>
          <w:right w:val="nil"/>
          <w:between w:val="nil"/>
        </w:pBdr>
        <w:tabs>
          <w:tab w:val="left" w:pos="142"/>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1.6 ‰ върху данъчната оценка на имотите, разпределена  както следва:</w:t>
      </w:r>
    </w:p>
    <w:p w:rsidR="005941C9" w:rsidRDefault="00A77877">
      <w:pPr>
        <w:numPr>
          <w:ilvl w:val="0"/>
          <w:numId w:val="12"/>
        </w:numPr>
        <w:pBdr>
          <w:top w:val="nil"/>
          <w:left w:val="nil"/>
          <w:bottom w:val="nil"/>
          <w:right w:val="nil"/>
          <w:between w:val="nil"/>
        </w:pBdr>
        <w:spacing w:after="0" w:line="276" w:lineRule="auto"/>
        <w:rPr>
          <w:rFonts w:ascii="Palatino Linotype" w:eastAsia="Palatino Linotype" w:hAnsi="Palatino Linotype" w:cs="Palatino Linotype"/>
          <w:color w:val="000000"/>
        </w:rPr>
      </w:pPr>
      <w:r>
        <w:rPr>
          <w:rFonts w:ascii="Palatino Linotype" w:eastAsia="Palatino Linotype" w:hAnsi="Palatino Linotype" w:cs="Palatino Linotype"/>
          <w:color w:val="000000"/>
        </w:rPr>
        <w:t>0.49 ‰ за сметосъбиране и сметоизвозване на битовите отпадъци;</w:t>
      </w:r>
    </w:p>
    <w:p w:rsidR="005941C9" w:rsidRDefault="00A77877">
      <w:pPr>
        <w:numPr>
          <w:ilvl w:val="0"/>
          <w:numId w:val="12"/>
        </w:numPr>
        <w:pBdr>
          <w:top w:val="nil"/>
          <w:left w:val="nil"/>
          <w:bottom w:val="nil"/>
          <w:right w:val="nil"/>
          <w:between w:val="nil"/>
        </w:pBdr>
        <w:spacing w:after="0" w:line="276" w:lineRule="auto"/>
        <w:rPr>
          <w:rFonts w:ascii="Palatino Linotype" w:eastAsia="Palatino Linotype" w:hAnsi="Palatino Linotype" w:cs="Palatino Linotype"/>
          <w:color w:val="000000"/>
        </w:rPr>
      </w:pPr>
      <w:r>
        <w:rPr>
          <w:rFonts w:ascii="Palatino Linotype" w:eastAsia="Palatino Linotype" w:hAnsi="Palatino Linotype" w:cs="Palatino Linotype"/>
          <w:color w:val="000000"/>
        </w:rPr>
        <w:t>0.42 ‰ за обезвреждане в депа или други съоръжения на битовите отпадъци;</w:t>
      </w:r>
    </w:p>
    <w:p w:rsidR="005941C9" w:rsidRDefault="00A77877">
      <w:pPr>
        <w:numPr>
          <w:ilvl w:val="0"/>
          <w:numId w:val="12"/>
        </w:numPr>
        <w:pBdr>
          <w:top w:val="nil"/>
          <w:left w:val="nil"/>
          <w:bottom w:val="nil"/>
          <w:right w:val="nil"/>
          <w:between w:val="nil"/>
        </w:pBdr>
        <w:spacing w:after="0" w:line="276" w:lineRule="auto"/>
        <w:rPr>
          <w:rFonts w:ascii="Palatino Linotype" w:eastAsia="Palatino Linotype" w:hAnsi="Palatino Linotype" w:cs="Palatino Linotype"/>
          <w:color w:val="000000"/>
        </w:rPr>
      </w:pPr>
      <w:r>
        <w:rPr>
          <w:rFonts w:ascii="Palatino Linotype" w:eastAsia="Palatino Linotype" w:hAnsi="Palatino Linotype" w:cs="Palatino Linotype"/>
          <w:color w:val="000000"/>
        </w:rPr>
        <w:t>0.69 ‰ за поддържане чистотата на териториите за обществено ползване.</w:t>
      </w:r>
    </w:p>
    <w:p w:rsidR="005941C9" w:rsidRDefault="005941C9">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p>
    <w:p w:rsidR="005941C9" w:rsidRDefault="00A77877">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За 2022 г . размера на ТБО в Столична община се запазва непроменен. </w:t>
      </w:r>
    </w:p>
    <w:p w:rsidR="005941C9" w:rsidRDefault="005941C9">
      <w:pPr>
        <w:pBdr>
          <w:top w:val="nil"/>
          <w:left w:val="nil"/>
          <w:bottom w:val="nil"/>
          <w:right w:val="nil"/>
          <w:between w:val="nil"/>
        </w:pBdr>
        <w:spacing w:after="0"/>
        <w:jc w:val="both"/>
        <w:rPr>
          <w:rFonts w:ascii="Palatino Linotype" w:eastAsia="Palatino Linotype" w:hAnsi="Palatino Linotype" w:cs="Palatino Linotype"/>
          <w:color w:val="000000"/>
        </w:rPr>
      </w:pPr>
    </w:p>
    <w:p w:rsidR="005941C9" w:rsidRDefault="00A77877">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 Столична община такса битови отпадъци не се събира за:</w:t>
      </w:r>
    </w:p>
    <w:p w:rsidR="005941C9" w:rsidRDefault="00A77877">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сметосъбиране и сметоизвозване за имоти на граждани и предприятия, които няма да се ползват през цялата година и за това е подадена декларация по образец, от собствениците или ползвателите в отделите „Местни данъци и такси“ по местонахождение на имота  в срок от 1 ноември до 31 декември на предходната година</w:t>
      </w:r>
    </w:p>
    <w:p w:rsidR="005941C9" w:rsidRDefault="00A77877">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незастроени нежилищни имоти на гражданите, попадащи извън границите на организираното сметосъбиране и сметоизвозване и за това е подадена декларация по образец от собствениците или ползвателите в отделите „Местни данъци и такси“ по местонахождение на имота  в срок от 1 ноември до 31 декември на предходната година</w:t>
      </w:r>
    </w:p>
    <w:p w:rsidR="005941C9" w:rsidRDefault="00A77877">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Столичният общински съвет може да освобождава определени категории лица изцяло или частично от заплащане на такса битови отпадъци. В случаите на освобождаване от такси по решение на общинския съвет, разходите по предоставяне на услугата са за сметка на общинските приходи.</w:t>
      </w:r>
    </w:p>
    <w:p w:rsidR="005941C9" w:rsidRDefault="005941C9">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p>
    <w:p w:rsidR="005941C9" w:rsidRDefault="00A77877">
      <w:pPr>
        <w:pBdr>
          <w:top w:val="nil"/>
          <w:left w:val="nil"/>
          <w:bottom w:val="nil"/>
          <w:right w:val="nil"/>
          <w:between w:val="nil"/>
        </w:pBd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 следващата таблица е представена информация за приходите от такса битови отпадъци за домакинствата и физическите лица на територията на Столична община за периода 2016 г. – 2020 г.</w:t>
      </w:r>
    </w:p>
    <w:p w:rsidR="005941C9" w:rsidRDefault="00A77877">
      <w:pPr>
        <w:pBdr>
          <w:top w:val="nil"/>
          <w:left w:val="nil"/>
          <w:bottom w:val="nil"/>
          <w:right w:val="nil"/>
          <w:between w:val="nil"/>
        </w:pBdr>
        <w:spacing w:after="200" w:line="240" w:lineRule="auto"/>
        <w:jc w:val="center"/>
        <w:rPr>
          <w:rFonts w:ascii="Palatino Linotype" w:eastAsia="Palatino Linotype" w:hAnsi="Palatino Linotype" w:cs="Palatino Linotype"/>
          <w:i/>
          <w:color w:val="44546A"/>
          <w:sz w:val="20"/>
          <w:szCs w:val="20"/>
        </w:rPr>
      </w:pPr>
      <w:r>
        <w:rPr>
          <w:rFonts w:ascii="Palatino Linotype" w:eastAsia="Palatino Linotype" w:hAnsi="Palatino Linotype" w:cs="Palatino Linotype"/>
          <w:i/>
          <w:color w:val="44546A"/>
          <w:sz w:val="20"/>
          <w:szCs w:val="20"/>
        </w:rPr>
        <w:t>Таблица 1 Приходи от такса битови отпадъци за периода 2016 -2020 г.</w:t>
      </w:r>
    </w:p>
    <w:tbl>
      <w:tblPr>
        <w:tblStyle w:val="a0"/>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19"/>
        <w:gridCol w:w="1249"/>
        <w:gridCol w:w="1276"/>
        <w:gridCol w:w="1275"/>
        <w:gridCol w:w="1276"/>
        <w:gridCol w:w="1256"/>
      </w:tblGrid>
      <w:tr w:rsidR="005941C9">
        <w:trPr>
          <w:trHeight w:val="300"/>
          <w:tblHeader/>
          <w:jc w:val="center"/>
        </w:trPr>
        <w:tc>
          <w:tcPr>
            <w:tcW w:w="3019" w:type="dxa"/>
            <w:shd w:val="clear" w:color="auto" w:fill="ACB9CA"/>
            <w:vAlign w:val="bottom"/>
          </w:tcPr>
          <w:p w:rsidR="005941C9" w:rsidRDefault="00A77877">
            <w:pPr>
              <w:spacing w:after="120" w:line="240" w:lineRule="auto"/>
              <w:jc w:val="center"/>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година</w:t>
            </w:r>
          </w:p>
        </w:tc>
        <w:tc>
          <w:tcPr>
            <w:tcW w:w="1249" w:type="dxa"/>
            <w:shd w:val="clear" w:color="auto" w:fill="ACB9CA"/>
            <w:vAlign w:val="center"/>
          </w:tcPr>
          <w:p w:rsidR="005941C9" w:rsidRDefault="00A77877">
            <w:pPr>
              <w:spacing w:after="120" w:line="240" w:lineRule="auto"/>
              <w:jc w:val="center"/>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2016</w:t>
            </w:r>
          </w:p>
        </w:tc>
        <w:tc>
          <w:tcPr>
            <w:tcW w:w="1276" w:type="dxa"/>
            <w:shd w:val="clear" w:color="auto" w:fill="ACB9CA"/>
            <w:vAlign w:val="center"/>
          </w:tcPr>
          <w:p w:rsidR="005941C9" w:rsidRDefault="00A77877">
            <w:pPr>
              <w:spacing w:after="120" w:line="240" w:lineRule="auto"/>
              <w:jc w:val="center"/>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2017</w:t>
            </w:r>
          </w:p>
        </w:tc>
        <w:tc>
          <w:tcPr>
            <w:tcW w:w="1275" w:type="dxa"/>
            <w:shd w:val="clear" w:color="auto" w:fill="ACB9CA"/>
            <w:vAlign w:val="center"/>
          </w:tcPr>
          <w:p w:rsidR="005941C9" w:rsidRDefault="00A77877">
            <w:pPr>
              <w:spacing w:after="120" w:line="240" w:lineRule="auto"/>
              <w:jc w:val="center"/>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2018</w:t>
            </w:r>
          </w:p>
        </w:tc>
        <w:tc>
          <w:tcPr>
            <w:tcW w:w="1276" w:type="dxa"/>
            <w:shd w:val="clear" w:color="auto" w:fill="ACB9CA"/>
            <w:vAlign w:val="center"/>
          </w:tcPr>
          <w:p w:rsidR="005941C9" w:rsidRDefault="00A77877">
            <w:pPr>
              <w:spacing w:after="120" w:line="240" w:lineRule="auto"/>
              <w:jc w:val="center"/>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2019</w:t>
            </w:r>
          </w:p>
        </w:tc>
        <w:tc>
          <w:tcPr>
            <w:tcW w:w="1256" w:type="dxa"/>
            <w:shd w:val="clear" w:color="auto" w:fill="ACB9CA"/>
          </w:tcPr>
          <w:p w:rsidR="005941C9" w:rsidRDefault="00A77877">
            <w:pPr>
              <w:spacing w:after="120" w:line="240" w:lineRule="auto"/>
              <w:jc w:val="center"/>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2020</w:t>
            </w:r>
          </w:p>
        </w:tc>
      </w:tr>
      <w:tr w:rsidR="005941C9">
        <w:trPr>
          <w:trHeight w:val="685"/>
          <w:jc w:val="center"/>
        </w:trPr>
        <w:tc>
          <w:tcPr>
            <w:tcW w:w="3019" w:type="dxa"/>
            <w:shd w:val="clear" w:color="auto" w:fill="FFFFFF"/>
            <w:vAlign w:val="bottom"/>
          </w:tcPr>
          <w:p w:rsidR="005941C9" w:rsidRDefault="00A77877">
            <w:pPr>
              <w:spacing w:after="120" w:line="240" w:lineRule="auto"/>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Общо приходи от такса битови отпадъци ( лв.):</w:t>
            </w:r>
          </w:p>
        </w:tc>
        <w:tc>
          <w:tcPr>
            <w:tcW w:w="1249" w:type="dxa"/>
            <w:shd w:val="clear" w:color="auto" w:fill="auto"/>
          </w:tcPr>
          <w:p w:rsidR="005941C9" w:rsidRDefault="005941C9">
            <w:pPr>
              <w:spacing w:after="120"/>
              <w:jc w:val="right"/>
              <w:rPr>
                <w:rFonts w:ascii="Palatino Linotype" w:eastAsia="Palatino Linotype" w:hAnsi="Palatino Linotype" w:cs="Palatino Linotype"/>
                <w:sz w:val="20"/>
                <w:szCs w:val="20"/>
              </w:rPr>
            </w:pPr>
          </w:p>
          <w:p w:rsidR="005941C9" w:rsidRDefault="00A77877">
            <w:pPr>
              <w:spacing w:after="120"/>
              <w:jc w:val="right"/>
              <w:rPr>
                <w:rFonts w:ascii="Palatino Linotype" w:eastAsia="Palatino Linotype" w:hAnsi="Palatino Linotype" w:cs="Palatino Linotype"/>
                <w:b/>
                <w:sz w:val="20"/>
                <w:szCs w:val="20"/>
              </w:rPr>
            </w:pPr>
            <w:r>
              <w:rPr>
                <w:rFonts w:ascii="Palatino Linotype" w:eastAsia="Palatino Linotype" w:hAnsi="Palatino Linotype" w:cs="Palatino Linotype"/>
                <w:sz w:val="20"/>
                <w:szCs w:val="20"/>
              </w:rPr>
              <w:t>206 005 175</w:t>
            </w:r>
          </w:p>
        </w:tc>
        <w:tc>
          <w:tcPr>
            <w:tcW w:w="1276" w:type="dxa"/>
            <w:shd w:val="clear" w:color="auto" w:fill="auto"/>
          </w:tcPr>
          <w:p w:rsidR="005941C9" w:rsidRDefault="005941C9">
            <w:pPr>
              <w:spacing w:after="120"/>
              <w:jc w:val="right"/>
              <w:rPr>
                <w:rFonts w:ascii="Palatino Linotype" w:eastAsia="Palatino Linotype" w:hAnsi="Palatino Linotype" w:cs="Palatino Linotype"/>
                <w:sz w:val="20"/>
                <w:szCs w:val="20"/>
              </w:rPr>
            </w:pPr>
          </w:p>
          <w:p w:rsidR="005941C9" w:rsidRDefault="00A77877">
            <w:pPr>
              <w:spacing w:after="120"/>
              <w:jc w:val="right"/>
              <w:rPr>
                <w:rFonts w:ascii="Palatino Linotype" w:eastAsia="Palatino Linotype" w:hAnsi="Palatino Linotype" w:cs="Palatino Linotype"/>
                <w:b/>
                <w:sz w:val="20"/>
                <w:szCs w:val="20"/>
              </w:rPr>
            </w:pPr>
            <w:r>
              <w:rPr>
                <w:rFonts w:ascii="Palatino Linotype" w:eastAsia="Palatino Linotype" w:hAnsi="Palatino Linotype" w:cs="Palatino Linotype"/>
                <w:sz w:val="20"/>
                <w:szCs w:val="20"/>
              </w:rPr>
              <w:t>196 893 396</w:t>
            </w:r>
          </w:p>
        </w:tc>
        <w:tc>
          <w:tcPr>
            <w:tcW w:w="1275" w:type="dxa"/>
            <w:shd w:val="clear" w:color="auto" w:fill="auto"/>
          </w:tcPr>
          <w:p w:rsidR="005941C9" w:rsidRDefault="005941C9">
            <w:pPr>
              <w:spacing w:after="120"/>
              <w:jc w:val="right"/>
              <w:rPr>
                <w:rFonts w:ascii="Palatino Linotype" w:eastAsia="Palatino Linotype" w:hAnsi="Palatino Linotype" w:cs="Palatino Linotype"/>
                <w:sz w:val="20"/>
                <w:szCs w:val="20"/>
              </w:rPr>
            </w:pPr>
          </w:p>
          <w:p w:rsidR="005941C9" w:rsidRDefault="00A77877">
            <w:pPr>
              <w:spacing w:after="120"/>
              <w:jc w:val="right"/>
              <w:rPr>
                <w:rFonts w:ascii="Palatino Linotype" w:eastAsia="Palatino Linotype" w:hAnsi="Palatino Linotype" w:cs="Palatino Linotype"/>
                <w:b/>
                <w:color w:val="000000"/>
                <w:sz w:val="20"/>
                <w:szCs w:val="20"/>
              </w:rPr>
            </w:pPr>
            <w:r>
              <w:rPr>
                <w:rFonts w:ascii="Palatino Linotype" w:eastAsia="Palatino Linotype" w:hAnsi="Palatino Linotype" w:cs="Palatino Linotype"/>
                <w:sz w:val="20"/>
                <w:szCs w:val="20"/>
              </w:rPr>
              <w:t>221 803 528</w:t>
            </w:r>
          </w:p>
        </w:tc>
        <w:tc>
          <w:tcPr>
            <w:tcW w:w="1276" w:type="dxa"/>
            <w:shd w:val="clear" w:color="auto" w:fill="auto"/>
          </w:tcPr>
          <w:p w:rsidR="005941C9" w:rsidRDefault="005941C9">
            <w:pPr>
              <w:spacing w:after="120"/>
              <w:jc w:val="right"/>
              <w:rPr>
                <w:rFonts w:ascii="Palatino Linotype" w:eastAsia="Palatino Linotype" w:hAnsi="Palatino Linotype" w:cs="Palatino Linotype"/>
                <w:sz w:val="20"/>
                <w:szCs w:val="20"/>
              </w:rPr>
            </w:pPr>
          </w:p>
          <w:p w:rsidR="005941C9" w:rsidRDefault="00A77877">
            <w:pPr>
              <w:spacing w:after="120"/>
              <w:jc w:val="right"/>
              <w:rPr>
                <w:rFonts w:ascii="Palatino Linotype" w:eastAsia="Palatino Linotype" w:hAnsi="Palatino Linotype" w:cs="Palatino Linotype"/>
                <w:b/>
                <w:color w:val="000000"/>
                <w:sz w:val="20"/>
                <w:szCs w:val="20"/>
              </w:rPr>
            </w:pPr>
            <w:r>
              <w:rPr>
                <w:rFonts w:ascii="Palatino Linotype" w:eastAsia="Palatino Linotype" w:hAnsi="Palatino Linotype" w:cs="Palatino Linotype"/>
                <w:sz w:val="20"/>
                <w:szCs w:val="20"/>
              </w:rPr>
              <w:t>239 991 617</w:t>
            </w:r>
          </w:p>
        </w:tc>
        <w:tc>
          <w:tcPr>
            <w:tcW w:w="1256" w:type="dxa"/>
          </w:tcPr>
          <w:p w:rsidR="005941C9" w:rsidRDefault="005941C9">
            <w:pPr>
              <w:spacing w:after="120"/>
              <w:jc w:val="right"/>
              <w:rPr>
                <w:rFonts w:ascii="Palatino Linotype" w:eastAsia="Palatino Linotype" w:hAnsi="Palatino Linotype" w:cs="Palatino Linotype"/>
                <w:sz w:val="20"/>
                <w:szCs w:val="20"/>
              </w:rPr>
            </w:pPr>
          </w:p>
          <w:p w:rsidR="005941C9" w:rsidRDefault="00A77877">
            <w:pPr>
              <w:spacing w:after="120"/>
              <w:jc w:val="right"/>
              <w:rPr>
                <w:rFonts w:ascii="Palatino Linotype" w:eastAsia="Palatino Linotype" w:hAnsi="Palatino Linotype" w:cs="Palatino Linotype"/>
                <w:b/>
                <w:color w:val="000000"/>
                <w:sz w:val="20"/>
                <w:szCs w:val="20"/>
              </w:rPr>
            </w:pPr>
            <w:r>
              <w:rPr>
                <w:rFonts w:ascii="Palatino Linotype" w:eastAsia="Palatino Linotype" w:hAnsi="Palatino Linotype" w:cs="Palatino Linotype"/>
                <w:sz w:val="20"/>
                <w:szCs w:val="20"/>
              </w:rPr>
              <w:t>227 243 793</w:t>
            </w:r>
          </w:p>
        </w:tc>
      </w:tr>
      <w:tr w:rsidR="005941C9">
        <w:trPr>
          <w:trHeight w:val="315"/>
          <w:jc w:val="center"/>
        </w:trPr>
        <w:tc>
          <w:tcPr>
            <w:tcW w:w="3019" w:type="dxa"/>
            <w:shd w:val="clear" w:color="auto" w:fill="FFFFFF"/>
            <w:vAlign w:val="bottom"/>
          </w:tcPr>
          <w:p w:rsidR="005941C9" w:rsidRDefault="00A77877">
            <w:pPr>
              <w:spacing w:after="12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В т.ч. от:</w:t>
            </w:r>
          </w:p>
        </w:tc>
        <w:tc>
          <w:tcPr>
            <w:tcW w:w="1249" w:type="dxa"/>
            <w:shd w:val="clear" w:color="auto" w:fill="auto"/>
          </w:tcPr>
          <w:p w:rsidR="005941C9" w:rsidRDefault="005941C9">
            <w:pPr>
              <w:spacing w:after="120" w:line="240" w:lineRule="auto"/>
              <w:jc w:val="right"/>
              <w:rPr>
                <w:rFonts w:ascii="Palatino Linotype" w:eastAsia="Palatino Linotype" w:hAnsi="Palatino Linotype" w:cs="Palatino Linotype"/>
                <w:sz w:val="20"/>
                <w:szCs w:val="20"/>
              </w:rPr>
            </w:pPr>
          </w:p>
        </w:tc>
        <w:tc>
          <w:tcPr>
            <w:tcW w:w="1276" w:type="dxa"/>
            <w:shd w:val="clear" w:color="auto" w:fill="auto"/>
          </w:tcPr>
          <w:p w:rsidR="005941C9" w:rsidRDefault="005941C9">
            <w:pPr>
              <w:spacing w:after="120" w:line="240" w:lineRule="auto"/>
              <w:jc w:val="right"/>
              <w:rPr>
                <w:rFonts w:ascii="Palatino Linotype" w:eastAsia="Palatino Linotype" w:hAnsi="Palatino Linotype" w:cs="Palatino Linotype"/>
                <w:sz w:val="20"/>
                <w:szCs w:val="20"/>
              </w:rPr>
            </w:pPr>
          </w:p>
        </w:tc>
        <w:tc>
          <w:tcPr>
            <w:tcW w:w="1275" w:type="dxa"/>
            <w:shd w:val="clear" w:color="auto" w:fill="auto"/>
          </w:tcPr>
          <w:p w:rsidR="005941C9" w:rsidRDefault="005941C9">
            <w:pPr>
              <w:spacing w:after="120" w:line="240" w:lineRule="auto"/>
              <w:jc w:val="right"/>
              <w:rPr>
                <w:rFonts w:ascii="Palatino Linotype" w:eastAsia="Palatino Linotype" w:hAnsi="Palatino Linotype" w:cs="Palatino Linotype"/>
                <w:sz w:val="20"/>
                <w:szCs w:val="20"/>
              </w:rPr>
            </w:pPr>
          </w:p>
        </w:tc>
        <w:tc>
          <w:tcPr>
            <w:tcW w:w="1276" w:type="dxa"/>
            <w:shd w:val="clear" w:color="auto" w:fill="auto"/>
          </w:tcPr>
          <w:p w:rsidR="005941C9" w:rsidRDefault="005941C9">
            <w:pPr>
              <w:spacing w:after="120" w:line="240" w:lineRule="auto"/>
              <w:jc w:val="right"/>
              <w:rPr>
                <w:rFonts w:ascii="Palatino Linotype" w:eastAsia="Palatino Linotype" w:hAnsi="Palatino Linotype" w:cs="Palatino Linotype"/>
                <w:sz w:val="20"/>
                <w:szCs w:val="20"/>
              </w:rPr>
            </w:pPr>
          </w:p>
        </w:tc>
        <w:tc>
          <w:tcPr>
            <w:tcW w:w="1256" w:type="dxa"/>
          </w:tcPr>
          <w:p w:rsidR="005941C9" w:rsidRDefault="005941C9">
            <w:pPr>
              <w:spacing w:after="120" w:line="240" w:lineRule="auto"/>
              <w:jc w:val="right"/>
              <w:rPr>
                <w:rFonts w:ascii="Palatino Linotype" w:eastAsia="Palatino Linotype" w:hAnsi="Palatino Linotype" w:cs="Palatino Linotype"/>
                <w:sz w:val="20"/>
                <w:szCs w:val="20"/>
              </w:rPr>
            </w:pPr>
          </w:p>
        </w:tc>
      </w:tr>
      <w:tr w:rsidR="005941C9">
        <w:trPr>
          <w:trHeight w:val="315"/>
          <w:jc w:val="center"/>
        </w:trPr>
        <w:tc>
          <w:tcPr>
            <w:tcW w:w="3019" w:type="dxa"/>
            <w:shd w:val="clear" w:color="auto" w:fill="FFFFFF"/>
            <w:vAlign w:val="bottom"/>
          </w:tcPr>
          <w:p w:rsidR="005941C9" w:rsidRDefault="00A77877">
            <w:pPr>
              <w:spacing w:after="12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Домакинствата</w:t>
            </w:r>
          </w:p>
        </w:tc>
        <w:tc>
          <w:tcPr>
            <w:tcW w:w="1249"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65 510 689</w:t>
            </w:r>
          </w:p>
        </w:tc>
        <w:tc>
          <w:tcPr>
            <w:tcW w:w="1276"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64 922 166</w:t>
            </w:r>
          </w:p>
        </w:tc>
        <w:tc>
          <w:tcPr>
            <w:tcW w:w="1275"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68 774 860</w:t>
            </w:r>
          </w:p>
        </w:tc>
        <w:tc>
          <w:tcPr>
            <w:tcW w:w="1276"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75 374 789</w:t>
            </w:r>
          </w:p>
        </w:tc>
        <w:tc>
          <w:tcPr>
            <w:tcW w:w="1256" w:type="dxa"/>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66 527 891</w:t>
            </w:r>
          </w:p>
        </w:tc>
      </w:tr>
      <w:tr w:rsidR="005941C9">
        <w:trPr>
          <w:trHeight w:val="315"/>
          <w:jc w:val="center"/>
        </w:trPr>
        <w:tc>
          <w:tcPr>
            <w:tcW w:w="3019" w:type="dxa"/>
            <w:shd w:val="clear" w:color="auto" w:fill="FFFFFF"/>
            <w:vAlign w:val="bottom"/>
          </w:tcPr>
          <w:p w:rsidR="005941C9" w:rsidRDefault="00A77877">
            <w:pPr>
              <w:spacing w:after="12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Юридически лица</w:t>
            </w:r>
          </w:p>
        </w:tc>
        <w:tc>
          <w:tcPr>
            <w:tcW w:w="1249"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140 494 485</w:t>
            </w:r>
          </w:p>
        </w:tc>
        <w:tc>
          <w:tcPr>
            <w:tcW w:w="1276"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131 971 230</w:t>
            </w:r>
          </w:p>
        </w:tc>
        <w:tc>
          <w:tcPr>
            <w:tcW w:w="1275"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153 028 667</w:t>
            </w:r>
          </w:p>
        </w:tc>
        <w:tc>
          <w:tcPr>
            <w:tcW w:w="1276"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164 616 828</w:t>
            </w:r>
          </w:p>
        </w:tc>
        <w:tc>
          <w:tcPr>
            <w:tcW w:w="1256" w:type="dxa"/>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160 715 902</w:t>
            </w:r>
          </w:p>
        </w:tc>
      </w:tr>
    </w:tbl>
    <w:p w:rsidR="005941C9" w:rsidRDefault="00A77877">
      <w:pPr>
        <w:pBdr>
          <w:top w:val="nil"/>
          <w:left w:val="nil"/>
          <w:bottom w:val="nil"/>
          <w:right w:val="nil"/>
          <w:between w:val="nil"/>
        </w:pBdr>
        <w:jc w:val="right"/>
        <w:rPr>
          <w:rFonts w:ascii="Palatino Linotype" w:eastAsia="Palatino Linotype" w:hAnsi="Palatino Linotype" w:cs="Palatino Linotype"/>
          <w:i/>
          <w:color w:val="000000"/>
          <w:sz w:val="20"/>
          <w:szCs w:val="20"/>
        </w:rPr>
      </w:pPr>
      <w:r>
        <w:rPr>
          <w:rFonts w:ascii="Palatino Linotype" w:eastAsia="Palatino Linotype" w:hAnsi="Palatino Linotype" w:cs="Palatino Linotype"/>
          <w:i/>
          <w:color w:val="000000"/>
          <w:sz w:val="20"/>
          <w:szCs w:val="20"/>
        </w:rPr>
        <w:t>Източник: Столична община</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В Столична община приходите от такса битови отпадъци,  генерирана от бизнеса е  по-голям от този на домакинствата. Разпределението на дяловете от постъпленията от такса битови отпадъци е представено в следващата таблица:</w:t>
      </w:r>
    </w:p>
    <w:p w:rsidR="005941C9" w:rsidRDefault="00A77877">
      <w:pPr>
        <w:pBdr>
          <w:top w:val="nil"/>
          <w:left w:val="nil"/>
          <w:bottom w:val="nil"/>
          <w:right w:val="nil"/>
          <w:between w:val="nil"/>
        </w:pBdr>
        <w:spacing w:after="200" w:line="240" w:lineRule="auto"/>
        <w:jc w:val="center"/>
        <w:rPr>
          <w:rFonts w:ascii="Palatino Linotype" w:eastAsia="Palatino Linotype" w:hAnsi="Palatino Linotype" w:cs="Palatino Linotype"/>
          <w:i/>
          <w:color w:val="44546A"/>
          <w:sz w:val="20"/>
          <w:szCs w:val="20"/>
        </w:rPr>
      </w:pPr>
      <w:r>
        <w:rPr>
          <w:rFonts w:ascii="Palatino Linotype" w:eastAsia="Palatino Linotype" w:hAnsi="Palatino Linotype" w:cs="Palatino Linotype"/>
          <w:i/>
          <w:color w:val="44546A"/>
          <w:sz w:val="20"/>
          <w:szCs w:val="20"/>
        </w:rPr>
        <w:t>Таблица 2 Структура на постъпленията от такса битови отпадъци за периода 2016 – 2020 г.</w:t>
      </w:r>
    </w:p>
    <w:tbl>
      <w:tblPr>
        <w:tblStyle w:val="a1"/>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97"/>
        <w:gridCol w:w="1134"/>
        <w:gridCol w:w="1275"/>
        <w:gridCol w:w="1134"/>
        <w:gridCol w:w="1134"/>
        <w:gridCol w:w="993"/>
      </w:tblGrid>
      <w:tr w:rsidR="005941C9">
        <w:trPr>
          <w:trHeight w:val="253"/>
          <w:tblHeader/>
        </w:trPr>
        <w:tc>
          <w:tcPr>
            <w:tcW w:w="3397" w:type="dxa"/>
            <w:shd w:val="clear" w:color="auto" w:fill="ACB9CA"/>
            <w:vAlign w:val="bottom"/>
          </w:tcPr>
          <w:p w:rsidR="005941C9" w:rsidRDefault="00A77877">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Година</w:t>
            </w:r>
          </w:p>
        </w:tc>
        <w:tc>
          <w:tcPr>
            <w:tcW w:w="1134" w:type="dxa"/>
            <w:shd w:val="clear" w:color="auto" w:fill="ACB9CA"/>
            <w:vAlign w:val="center"/>
          </w:tcPr>
          <w:p w:rsidR="005941C9" w:rsidRDefault="00A77877">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2016</w:t>
            </w:r>
          </w:p>
        </w:tc>
        <w:tc>
          <w:tcPr>
            <w:tcW w:w="1275" w:type="dxa"/>
            <w:shd w:val="clear" w:color="auto" w:fill="ACB9CA"/>
            <w:vAlign w:val="center"/>
          </w:tcPr>
          <w:p w:rsidR="005941C9" w:rsidRDefault="00A77877">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2017</w:t>
            </w:r>
          </w:p>
        </w:tc>
        <w:tc>
          <w:tcPr>
            <w:tcW w:w="1134" w:type="dxa"/>
            <w:shd w:val="clear" w:color="auto" w:fill="ACB9CA"/>
            <w:vAlign w:val="center"/>
          </w:tcPr>
          <w:p w:rsidR="005941C9" w:rsidRDefault="00A77877">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2018</w:t>
            </w:r>
          </w:p>
        </w:tc>
        <w:tc>
          <w:tcPr>
            <w:tcW w:w="1134" w:type="dxa"/>
            <w:shd w:val="clear" w:color="auto" w:fill="ACB9CA"/>
            <w:vAlign w:val="center"/>
          </w:tcPr>
          <w:p w:rsidR="005941C9" w:rsidRDefault="00A77877">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2019</w:t>
            </w:r>
          </w:p>
        </w:tc>
        <w:tc>
          <w:tcPr>
            <w:tcW w:w="993" w:type="dxa"/>
            <w:shd w:val="clear" w:color="auto" w:fill="ACB9CA"/>
          </w:tcPr>
          <w:p w:rsidR="005941C9" w:rsidRDefault="00A77877">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2020</w:t>
            </w:r>
          </w:p>
        </w:tc>
      </w:tr>
      <w:tr w:rsidR="005941C9">
        <w:trPr>
          <w:trHeight w:val="315"/>
        </w:trPr>
        <w:tc>
          <w:tcPr>
            <w:tcW w:w="3397" w:type="dxa"/>
            <w:shd w:val="clear" w:color="auto" w:fill="FFFFFF"/>
            <w:vAlign w:val="bottom"/>
          </w:tcPr>
          <w:p w:rsidR="005941C9" w:rsidRDefault="00A77877">
            <w:pPr>
              <w:spacing w:after="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Дял на приходите от такса битови отпадъци, платени от Домакинствата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5941C9" w:rsidRDefault="00A77877">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31,80%</w:t>
            </w:r>
          </w:p>
        </w:tc>
        <w:tc>
          <w:tcPr>
            <w:tcW w:w="1275" w:type="dxa"/>
            <w:tcBorders>
              <w:top w:val="single" w:sz="4" w:space="0" w:color="000000"/>
              <w:left w:val="nil"/>
              <w:bottom w:val="single" w:sz="4" w:space="0" w:color="000000"/>
              <w:right w:val="single" w:sz="4" w:space="0" w:color="000000"/>
            </w:tcBorders>
            <w:shd w:val="clear" w:color="auto" w:fill="auto"/>
            <w:vAlign w:val="bottom"/>
          </w:tcPr>
          <w:p w:rsidR="005941C9" w:rsidRDefault="00A77877">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32,97%</w:t>
            </w:r>
          </w:p>
        </w:tc>
        <w:tc>
          <w:tcPr>
            <w:tcW w:w="1134" w:type="dxa"/>
            <w:tcBorders>
              <w:top w:val="single" w:sz="4" w:space="0" w:color="000000"/>
              <w:left w:val="nil"/>
              <w:bottom w:val="single" w:sz="4" w:space="0" w:color="000000"/>
              <w:right w:val="single" w:sz="4" w:space="0" w:color="000000"/>
            </w:tcBorders>
            <w:shd w:val="clear" w:color="auto" w:fill="auto"/>
            <w:vAlign w:val="bottom"/>
          </w:tcPr>
          <w:p w:rsidR="005941C9" w:rsidRDefault="00A77877">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31,01%</w:t>
            </w:r>
          </w:p>
        </w:tc>
        <w:tc>
          <w:tcPr>
            <w:tcW w:w="1134" w:type="dxa"/>
            <w:tcBorders>
              <w:top w:val="single" w:sz="4" w:space="0" w:color="000000"/>
              <w:left w:val="nil"/>
              <w:bottom w:val="single" w:sz="4" w:space="0" w:color="000000"/>
              <w:right w:val="single" w:sz="4" w:space="0" w:color="000000"/>
            </w:tcBorders>
            <w:shd w:val="clear" w:color="auto" w:fill="auto"/>
            <w:vAlign w:val="bottom"/>
          </w:tcPr>
          <w:p w:rsidR="005941C9" w:rsidRDefault="00A77877">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31,41%</w:t>
            </w:r>
          </w:p>
        </w:tc>
        <w:tc>
          <w:tcPr>
            <w:tcW w:w="993" w:type="dxa"/>
            <w:tcBorders>
              <w:top w:val="single" w:sz="4" w:space="0" w:color="000000"/>
              <w:left w:val="nil"/>
              <w:bottom w:val="single" w:sz="4" w:space="0" w:color="000000"/>
              <w:right w:val="single" w:sz="4" w:space="0" w:color="000000"/>
            </w:tcBorders>
            <w:shd w:val="clear" w:color="auto" w:fill="auto"/>
            <w:vAlign w:val="bottom"/>
          </w:tcPr>
          <w:p w:rsidR="005941C9" w:rsidRDefault="00A77877">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29,28%</w:t>
            </w:r>
          </w:p>
        </w:tc>
      </w:tr>
      <w:tr w:rsidR="005941C9">
        <w:trPr>
          <w:trHeight w:val="707"/>
        </w:trPr>
        <w:tc>
          <w:tcPr>
            <w:tcW w:w="3397" w:type="dxa"/>
            <w:shd w:val="clear" w:color="auto" w:fill="FFFFFF"/>
            <w:vAlign w:val="bottom"/>
          </w:tcPr>
          <w:p w:rsidR="005941C9" w:rsidRDefault="00A77877">
            <w:pPr>
              <w:spacing w:after="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Дял на приходите от такса битови отпадъци, платени  от Юридически лица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5941C9" w:rsidRDefault="00A77877">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68,20%</w:t>
            </w:r>
          </w:p>
        </w:tc>
        <w:tc>
          <w:tcPr>
            <w:tcW w:w="1275" w:type="dxa"/>
            <w:tcBorders>
              <w:top w:val="single" w:sz="4" w:space="0" w:color="000000"/>
              <w:left w:val="nil"/>
              <w:bottom w:val="single" w:sz="4" w:space="0" w:color="000000"/>
              <w:right w:val="single" w:sz="4" w:space="0" w:color="000000"/>
            </w:tcBorders>
            <w:shd w:val="clear" w:color="auto" w:fill="auto"/>
            <w:vAlign w:val="bottom"/>
          </w:tcPr>
          <w:p w:rsidR="005941C9" w:rsidRDefault="00A77877">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67,03%</w:t>
            </w:r>
          </w:p>
        </w:tc>
        <w:tc>
          <w:tcPr>
            <w:tcW w:w="1134" w:type="dxa"/>
            <w:tcBorders>
              <w:top w:val="single" w:sz="4" w:space="0" w:color="000000"/>
              <w:left w:val="nil"/>
              <w:bottom w:val="single" w:sz="4" w:space="0" w:color="000000"/>
              <w:right w:val="single" w:sz="4" w:space="0" w:color="000000"/>
            </w:tcBorders>
            <w:shd w:val="clear" w:color="auto" w:fill="auto"/>
            <w:vAlign w:val="bottom"/>
          </w:tcPr>
          <w:p w:rsidR="005941C9" w:rsidRDefault="00A77877">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68,99%</w:t>
            </w:r>
          </w:p>
        </w:tc>
        <w:tc>
          <w:tcPr>
            <w:tcW w:w="1134" w:type="dxa"/>
            <w:tcBorders>
              <w:top w:val="single" w:sz="4" w:space="0" w:color="000000"/>
              <w:left w:val="nil"/>
              <w:bottom w:val="single" w:sz="4" w:space="0" w:color="000000"/>
              <w:right w:val="single" w:sz="4" w:space="0" w:color="000000"/>
            </w:tcBorders>
            <w:shd w:val="clear" w:color="auto" w:fill="auto"/>
            <w:vAlign w:val="bottom"/>
          </w:tcPr>
          <w:p w:rsidR="005941C9" w:rsidRDefault="00A77877">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68,59%</w:t>
            </w:r>
          </w:p>
        </w:tc>
        <w:tc>
          <w:tcPr>
            <w:tcW w:w="993" w:type="dxa"/>
            <w:tcBorders>
              <w:top w:val="single" w:sz="4" w:space="0" w:color="000000"/>
              <w:left w:val="nil"/>
              <w:bottom w:val="single" w:sz="4" w:space="0" w:color="000000"/>
              <w:right w:val="single" w:sz="4" w:space="0" w:color="000000"/>
            </w:tcBorders>
            <w:shd w:val="clear" w:color="auto" w:fill="auto"/>
            <w:vAlign w:val="bottom"/>
          </w:tcPr>
          <w:p w:rsidR="005941C9" w:rsidRDefault="00A77877">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70,72%</w:t>
            </w:r>
          </w:p>
        </w:tc>
      </w:tr>
    </w:tbl>
    <w:p w:rsidR="005941C9" w:rsidRDefault="005941C9"/>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Сравнителният анализ на данните от структурата на постъпленията от такса битови отпадъци, показва, че в Столична община постъпленията от бизнес са с по-голям дял от постъпленията от домакинствата. В анализа към НПУО данните за много големите   общини (над 100 хил. жители) постъпленията от бизнеса са в диапазон от 53-54%, каквато е тенденцията и  в Столична община. Видно от данните в таблицата, в Столична община този процент е наѝ-висок сред много големите общини  и от средният процент за страната. </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Това е в резултат  от  заплащането на ТБО на база данъчна оценка на имотите, която  в София е значително по-висока. По данни на Столична община през 2020 г. са подадени  4 816 бр. декларации за определяне на таксата според заявеното от тях количество битови отпадъци, съобразно вида и броя на съдовете за съхраняване и честотата на извозване и 2 304 бр. заповеди за пряко договаряне за услугата по събиране и извозване на битовите отпадъци с фирми, регистрирани по реда на Закона за управление на отпадъците.</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В следващата таблица е представена информация за приходите от такса битови отпадъци на 1 жител  и на тон отпадък в Столична община.</w:t>
      </w:r>
    </w:p>
    <w:p w:rsidR="005941C9" w:rsidRDefault="00A77877">
      <w:pPr>
        <w:pBdr>
          <w:top w:val="nil"/>
          <w:left w:val="nil"/>
          <w:bottom w:val="nil"/>
          <w:right w:val="nil"/>
          <w:between w:val="nil"/>
        </w:pBdr>
        <w:spacing w:after="200" w:line="240" w:lineRule="auto"/>
        <w:jc w:val="center"/>
        <w:rPr>
          <w:rFonts w:ascii="Palatino Linotype" w:eastAsia="Palatino Linotype" w:hAnsi="Palatino Linotype" w:cs="Palatino Linotype"/>
          <w:i/>
          <w:color w:val="44546A"/>
          <w:sz w:val="20"/>
          <w:szCs w:val="20"/>
        </w:rPr>
      </w:pPr>
      <w:r>
        <w:rPr>
          <w:rFonts w:ascii="Palatino Linotype" w:eastAsia="Palatino Linotype" w:hAnsi="Palatino Linotype" w:cs="Palatino Linotype"/>
          <w:i/>
          <w:color w:val="44546A"/>
          <w:sz w:val="20"/>
          <w:szCs w:val="20"/>
        </w:rPr>
        <w:t>Таблица 3 Приходи от такса битови отпадъци/жител и на тон  отпадък за периода 2016 – 2020 г.</w:t>
      </w:r>
    </w:p>
    <w:tbl>
      <w:tblPr>
        <w:tblStyle w:val="a2"/>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4"/>
        <w:gridCol w:w="1276"/>
        <w:gridCol w:w="1275"/>
        <w:gridCol w:w="1275"/>
        <w:gridCol w:w="1277"/>
        <w:gridCol w:w="1275"/>
      </w:tblGrid>
      <w:tr w:rsidR="005941C9">
        <w:trPr>
          <w:trHeight w:val="253"/>
          <w:tblHeader/>
        </w:trPr>
        <w:tc>
          <w:tcPr>
            <w:tcW w:w="3114" w:type="dxa"/>
            <w:shd w:val="clear" w:color="auto" w:fill="ACB9CA"/>
            <w:vAlign w:val="bottom"/>
          </w:tcPr>
          <w:p w:rsidR="005941C9" w:rsidRDefault="00A77877">
            <w:pPr>
              <w:spacing w:after="0" w:line="240" w:lineRule="auto"/>
              <w:jc w:val="center"/>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Година</w:t>
            </w:r>
          </w:p>
        </w:tc>
        <w:tc>
          <w:tcPr>
            <w:tcW w:w="1276" w:type="dxa"/>
            <w:shd w:val="clear" w:color="auto" w:fill="ACB9CA"/>
            <w:vAlign w:val="center"/>
          </w:tcPr>
          <w:p w:rsidR="005941C9" w:rsidRDefault="00A77877">
            <w:pPr>
              <w:spacing w:after="0" w:line="240" w:lineRule="auto"/>
              <w:jc w:val="center"/>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2016</w:t>
            </w:r>
          </w:p>
        </w:tc>
        <w:tc>
          <w:tcPr>
            <w:tcW w:w="1275" w:type="dxa"/>
            <w:shd w:val="clear" w:color="auto" w:fill="ACB9CA"/>
            <w:vAlign w:val="center"/>
          </w:tcPr>
          <w:p w:rsidR="005941C9" w:rsidRDefault="00A77877">
            <w:pPr>
              <w:spacing w:after="0" w:line="240" w:lineRule="auto"/>
              <w:jc w:val="center"/>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2017</w:t>
            </w:r>
          </w:p>
        </w:tc>
        <w:tc>
          <w:tcPr>
            <w:tcW w:w="1275" w:type="dxa"/>
            <w:shd w:val="clear" w:color="auto" w:fill="ACB9CA"/>
            <w:vAlign w:val="center"/>
          </w:tcPr>
          <w:p w:rsidR="005941C9" w:rsidRDefault="00A77877">
            <w:pPr>
              <w:spacing w:after="0" w:line="240" w:lineRule="auto"/>
              <w:jc w:val="center"/>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2018</w:t>
            </w:r>
          </w:p>
        </w:tc>
        <w:tc>
          <w:tcPr>
            <w:tcW w:w="1277" w:type="dxa"/>
            <w:shd w:val="clear" w:color="auto" w:fill="ACB9CA"/>
            <w:vAlign w:val="center"/>
          </w:tcPr>
          <w:p w:rsidR="005941C9" w:rsidRDefault="00A77877">
            <w:pPr>
              <w:spacing w:after="0" w:line="240" w:lineRule="auto"/>
              <w:jc w:val="center"/>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2019</w:t>
            </w:r>
          </w:p>
        </w:tc>
        <w:tc>
          <w:tcPr>
            <w:tcW w:w="1275" w:type="dxa"/>
            <w:shd w:val="clear" w:color="auto" w:fill="ACB9CA"/>
          </w:tcPr>
          <w:p w:rsidR="005941C9" w:rsidRDefault="00A77877">
            <w:pPr>
              <w:spacing w:after="0" w:line="240" w:lineRule="auto"/>
              <w:jc w:val="center"/>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2020</w:t>
            </w:r>
          </w:p>
        </w:tc>
      </w:tr>
      <w:tr w:rsidR="005941C9">
        <w:trPr>
          <w:trHeight w:val="300"/>
        </w:trPr>
        <w:tc>
          <w:tcPr>
            <w:tcW w:w="3114" w:type="dxa"/>
            <w:shd w:val="clear" w:color="auto" w:fill="FFFFFF"/>
            <w:vAlign w:val="bottom"/>
          </w:tcPr>
          <w:p w:rsidR="005941C9" w:rsidRDefault="00A77877">
            <w:pPr>
              <w:spacing w:after="0" w:line="240" w:lineRule="auto"/>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Общо приходи от такса битови отпадъци (лв.):</w:t>
            </w:r>
          </w:p>
        </w:tc>
        <w:tc>
          <w:tcPr>
            <w:tcW w:w="1276" w:type="dxa"/>
            <w:shd w:val="clear" w:color="auto" w:fill="auto"/>
          </w:tcPr>
          <w:p w:rsidR="005941C9" w:rsidRDefault="005941C9">
            <w:pPr>
              <w:spacing w:after="120"/>
              <w:jc w:val="right"/>
              <w:rPr>
                <w:rFonts w:ascii="Palatino Linotype" w:eastAsia="Palatino Linotype" w:hAnsi="Palatino Linotype" w:cs="Palatino Linotype"/>
                <w:sz w:val="20"/>
                <w:szCs w:val="20"/>
              </w:rPr>
            </w:pPr>
          </w:p>
          <w:p w:rsidR="005941C9" w:rsidRDefault="00A77877">
            <w:pPr>
              <w:spacing w:after="120"/>
              <w:jc w:val="right"/>
              <w:rPr>
                <w:rFonts w:ascii="Palatino Linotype" w:eastAsia="Palatino Linotype" w:hAnsi="Palatino Linotype" w:cs="Palatino Linotype"/>
                <w:b/>
                <w:sz w:val="20"/>
                <w:szCs w:val="20"/>
              </w:rPr>
            </w:pPr>
            <w:r>
              <w:rPr>
                <w:rFonts w:ascii="Palatino Linotype" w:eastAsia="Palatino Linotype" w:hAnsi="Palatino Linotype" w:cs="Palatino Linotype"/>
                <w:sz w:val="20"/>
                <w:szCs w:val="20"/>
              </w:rPr>
              <w:t>206 005 175</w:t>
            </w:r>
          </w:p>
        </w:tc>
        <w:tc>
          <w:tcPr>
            <w:tcW w:w="1275" w:type="dxa"/>
            <w:shd w:val="clear" w:color="auto" w:fill="auto"/>
          </w:tcPr>
          <w:p w:rsidR="005941C9" w:rsidRDefault="005941C9">
            <w:pPr>
              <w:spacing w:after="120"/>
              <w:jc w:val="right"/>
              <w:rPr>
                <w:rFonts w:ascii="Palatino Linotype" w:eastAsia="Palatino Linotype" w:hAnsi="Palatino Linotype" w:cs="Palatino Linotype"/>
                <w:sz w:val="20"/>
                <w:szCs w:val="20"/>
              </w:rPr>
            </w:pPr>
          </w:p>
          <w:p w:rsidR="005941C9" w:rsidRDefault="00A77877">
            <w:pPr>
              <w:spacing w:after="120"/>
              <w:jc w:val="right"/>
              <w:rPr>
                <w:rFonts w:ascii="Palatino Linotype" w:eastAsia="Palatino Linotype" w:hAnsi="Palatino Linotype" w:cs="Palatino Linotype"/>
                <w:b/>
                <w:sz w:val="20"/>
                <w:szCs w:val="20"/>
              </w:rPr>
            </w:pPr>
            <w:r>
              <w:rPr>
                <w:rFonts w:ascii="Palatino Linotype" w:eastAsia="Palatino Linotype" w:hAnsi="Palatino Linotype" w:cs="Palatino Linotype"/>
                <w:sz w:val="20"/>
                <w:szCs w:val="20"/>
              </w:rPr>
              <w:t>196 893 396</w:t>
            </w:r>
          </w:p>
        </w:tc>
        <w:tc>
          <w:tcPr>
            <w:tcW w:w="1275" w:type="dxa"/>
            <w:shd w:val="clear" w:color="auto" w:fill="auto"/>
          </w:tcPr>
          <w:p w:rsidR="005941C9" w:rsidRDefault="005941C9">
            <w:pPr>
              <w:spacing w:after="120"/>
              <w:jc w:val="right"/>
              <w:rPr>
                <w:rFonts w:ascii="Palatino Linotype" w:eastAsia="Palatino Linotype" w:hAnsi="Palatino Linotype" w:cs="Palatino Linotype"/>
                <w:sz w:val="20"/>
                <w:szCs w:val="20"/>
              </w:rPr>
            </w:pPr>
          </w:p>
          <w:p w:rsidR="005941C9" w:rsidRDefault="00A77877">
            <w:pPr>
              <w:spacing w:after="120"/>
              <w:jc w:val="right"/>
              <w:rPr>
                <w:rFonts w:ascii="Palatino Linotype" w:eastAsia="Palatino Linotype" w:hAnsi="Palatino Linotype" w:cs="Palatino Linotype"/>
                <w:b/>
                <w:color w:val="000000"/>
                <w:sz w:val="20"/>
                <w:szCs w:val="20"/>
              </w:rPr>
            </w:pPr>
            <w:r>
              <w:rPr>
                <w:rFonts w:ascii="Palatino Linotype" w:eastAsia="Palatino Linotype" w:hAnsi="Palatino Linotype" w:cs="Palatino Linotype"/>
                <w:sz w:val="20"/>
                <w:szCs w:val="20"/>
              </w:rPr>
              <w:t>221 803 528</w:t>
            </w:r>
          </w:p>
        </w:tc>
        <w:tc>
          <w:tcPr>
            <w:tcW w:w="1277" w:type="dxa"/>
            <w:shd w:val="clear" w:color="auto" w:fill="auto"/>
          </w:tcPr>
          <w:p w:rsidR="005941C9" w:rsidRDefault="005941C9">
            <w:pPr>
              <w:spacing w:after="120"/>
              <w:jc w:val="right"/>
              <w:rPr>
                <w:rFonts w:ascii="Palatino Linotype" w:eastAsia="Palatino Linotype" w:hAnsi="Palatino Linotype" w:cs="Palatino Linotype"/>
                <w:sz w:val="20"/>
                <w:szCs w:val="20"/>
              </w:rPr>
            </w:pPr>
          </w:p>
          <w:p w:rsidR="005941C9" w:rsidRDefault="00A77877">
            <w:pPr>
              <w:spacing w:after="120"/>
              <w:jc w:val="right"/>
              <w:rPr>
                <w:rFonts w:ascii="Palatino Linotype" w:eastAsia="Palatino Linotype" w:hAnsi="Palatino Linotype" w:cs="Palatino Linotype"/>
                <w:b/>
                <w:color w:val="000000"/>
                <w:sz w:val="20"/>
                <w:szCs w:val="20"/>
              </w:rPr>
            </w:pPr>
            <w:r>
              <w:rPr>
                <w:rFonts w:ascii="Palatino Linotype" w:eastAsia="Palatino Linotype" w:hAnsi="Palatino Linotype" w:cs="Palatino Linotype"/>
                <w:sz w:val="20"/>
                <w:szCs w:val="20"/>
              </w:rPr>
              <w:t>239 991 617</w:t>
            </w:r>
          </w:p>
        </w:tc>
        <w:tc>
          <w:tcPr>
            <w:tcW w:w="1275" w:type="dxa"/>
          </w:tcPr>
          <w:p w:rsidR="005941C9" w:rsidRDefault="005941C9">
            <w:pPr>
              <w:spacing w:after="120"/>
              <w:jc w:val="right"/>
              <w:rPr>
                <w:rFonts w:ascii="Palatino Linotype" w:eastAsia="Palatino Linotype" w:hAnsi="Palatino Linotype" w:cs="Palatino Linotype"/>
                <w:sz w:val="20"/>
                <w:szCs w:val="20"/>
              </w:rPr>
            </w:pPr>
          </w:p>
          <w:p w:rsidR="005941C9" w:rsidRDefault="00A77877">
            <w:pPr>
              <w:spacing w:after="120"/>
              <w:jc w:val="right"/>
              <w:rPr>
                <w:rFonts w:ascii="Palatino Linotype" w:eastAsia="Palatino Linotype" w:hAnsi="Palatino Linotype" w:cs="Palatino Linotype"/>
                <w:b/>
                <w:color w:val="000000"/>
                <w:sz w:val="20"/>
                <w:szCs w:val="20"/>
              </w:rPr>
            </w:pPr>
            <w:r>
              <w:rPr>
                <w:rFonts w:ascii="Palatino Linotype" w:eastAsia="Palatino Linotype" w:hAnsi="Palatino Linotype" w:cs="Palatino Linotype"/>
                <w:sz w:val="20"/>
                <w:szCs w:val="20"/>
              </w:rPr>
              <w:t>227 243 793</w:t>
            </w:r>
          </w:p>
        </w:tc>
      </w:tr>
      <w:tr w:rsidR="005941C9">
        <w:trPr>
          <w:trHeight w:val="300"/>
        </w:trPr>
        <w:tc>
          <w:tcPr>
            <w:tcW w:w="3114" w:type="dxa"/>
            <w:shd w:val="clear" w:color="auto" w:fill="FFFFFF"/>
            <w:vAlign w:val="bottom"/>
          </w:tcPr>
          <w:p w:rsidR="005941C9" w:rsidRDefault="00A77877">
            <w:pPr>
              <w:spacing w:after="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 xml:space="preserve">Население </w:t>
            </w:r>
          </w:p>
        </w:tc>
        <w:tc>
          <w:tcPr>
            <w:tcW w:w="1276"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1 323 637</w:t>
            </w:r>
          </w:p>
        </w:tc>
        <w:tc>
          <w:tcPr>
            <w:tcW w:w="1275"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1 325 429</w:t>
            </w:r>
          </w:p>
        </w:tc>
        <w:tc>
          <w:tcPr>
            <w:tcW w:w="1275"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1 328 120</w:t>
            </w:r>
          </w:p>
        </w:tc>
        <w:tc>
          <w:tcPr>
            <w:tcW w:w="1277"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1 328 790</w:t>
            </w:r>
          </w:p>
        </w:tc>
        <w:tc>
          <w:tcPr>
            <w:tcW w:w="1275" w:type="dxa"/>
          </w:tcPr>
          <w:p w:rsidR="005941C9" w:rsidRDefault="00A77877">
            <w:pPr>
              <w:spacing w:after="120"/>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1 308 412</w:t>
            </w:r>
          </w:p>
        </w:tc>
      </w:tr>
      <w:tr w:rsidR="005941C9">
        <w:trPr>
          <w:trHeight w:val="315"/>
        </w:trPr>
        <w:tc>
          <w:tcPr>
            <w:tcW w:w="3114" w:type="dxa"/>
            <w:shd w:val="clear" w:color="auto" w:fill="FFFFFF"/>
            <w:vAlign w:val="bottom"/>
          </w:tcPr>
          <w:p w:rsidR="005941C9" w:rsidRDefault="00A77877">
            <w:pPr>
              <w:spacing w:after="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Приходи от ТБО/ 1 жител (лв.)</w:t>
            </w:r>
          </w:p>
        </w:tc>
        <w:tc>
          <w:tcPr>
            <w:tcW w:w="1276" w:type="dxa"/>
            <w:shd w:val="clear" w:color="auto" w:fill="auto"/>
          </w:tcPr>
          <w:p w:rsidR="005941C9" w:rsidRDefault="00A77877">
            <w:pPr>
              <w:spacing w:after="0" w:line="240"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155,64</w:t>
            </w:r>
          </w:p>
        </w:tc>
        <w:tc>
          <w:tcPr>
            <w:tcW w:w="1275" w:type="dxa"/>
            <w:shd w:val="clear" w:color="auto" w:fill="auto"/>
          </w:tcPr>
          <w:p w:rsidR="005941C9" w:rsidRDefault="00A77877">
            <w:pPr>
              <w:spacing w:after="0" w:line="240"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148,55</w:t>
            </w:r>
          </w:p>
        </w:tc>
        <w:tc>
          <w:tcPr>
            <w:tcW w:w="1275" w:type="dxa"/>
            <w:shd w:val="clear" w:color="auto" w:fill="auto"/>
          </w:tcPr>
          <w:p w:rsidR="005941C9" w:rsidRDefault="00A77877">
            <w:pPr>
              <w:spacing w:after="0" w:line="240"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167,01</w:t>
            </w:r>
          </w:p>
        </w:tc>
        <w:tc>
          <w:tcPr>
            <w:tcW w:w="1277" w:type="dxa"/>
            <w:shd w:val="clear" w:color="auto" w:fill="auto"/>
          </w:tcPr>
          <w:p w:rsidR="005941C9" w:rsidRDefault="00A77877">
            <w:pPr>
              <w:spacing w:after="0" w:line="240"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180,61</w:t>
            </w:r>
          </w:p>
        </w:tc>
        <w:tc>
          <w:tcPr>
            <w:tcW w:w="1275" w:type="dxa"/>
          </w:tcPr>
          <w:p w:rsidR="005941C9" w:rsidRDefault="00A77877">
            <w:pPr>
              <w:spacing w:after="0" w:line="240"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173,68</w:t>
            </w:r>
          </w:p>
        </w:tc>
      </w:tr>
      <w:tr w:rsidR="005941C9">
        <w:trPr>
          <w:trHeight w:val="315"/>
        </w:trPr>
        <w:tc>
          <w:tcPr>
            <w:tcW w:w="3114" w:type="dxa"/>
            <w:shd w:val="clear" w:color="auto" w:fill="FFFFFF"/>
            <w:vAlign w:val="bottom"/>
          </w:tcPr>
          <w:p w:rsidR="005941C9" w:rsidRDefault="00A77877">
            <w:pPr>
              <w:spacing w:after="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 xml:space="preserve">Количество битови </w:t>
            </w:r>
            <w:r w:rsidR="00222DE2">
              <w:rPr>
                <w:rFonts w:ascii="Palatino Linotype" w:eastAsia="Palatino Linotype" w:hAnsi="Palatino Linotype" w:cs="Palatino Linotype"/>
                <w:color w:val="000000"/>
                <w:sz w:val="20"/>
                <w:szCs w:val="20"/>
              </w:rPr>
              <w:t>отпадъци предадени на завода за МБТ</w:t>
            </w:r>
            <w:r>
              <w:rPr>
                <w:rFonts w:ascii="Palatino Linotype" w:eastAsia="Palatino Linotype" w:hAnsi="Palatino Linotype" w:cs="Palatino Linotype"/>
                <w:color w:val="000000"/>
                <w:sz w:val="20"/>
                <w:szCs w:val="20"/>
              </w:rPr>
              <w:t>(т)</w:t>
            </w:r>
          </w:p>
        </w:tc>
        <w:tc>
          <w:tcPr>
            <w:tcW w:w="1276" w:type="dxa"/>
            <w:shd w:val="clear" w:color="auto" w:fill="auto"/>
          </w:tcPr>
          <w:p w:rsidR="005941C9" w:rsidRDefault="00A77877">
            <w:pPr>
              <w:spacing w:after="0" w:line="240"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324024</w:t>
            </w:r>
          </w:p>
        </w:tc>
        <w:tc>
          <w:tcPr>
            <w:tcW w:w="1275" w:type="dxa"/>
            <w:shd w:val="clear" w:color="auto" w:fill="auto"/>
          </w:tcPr>
          <w:p w:rsidR="005941C9" w:rsidRDefault="00A77877">
            <w:pPr>
              <w:spacing w:after="0" w:line="240"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356123</w:t>
            </w:r>
          </w:p>
        </w:tc>
        <w:tc>
          <w:tcPr>
            <w:tcW w:w="1275" w:type="dxa"/>
            <w:shd w:val="clear" w:color="auto" w:fill="auto"/>
          </w:tcPr>
          <w:p w:rsidR="005941C9" w:rsidRDefault="00A77877">
            <w:pPr>
              <w:spacing w:after="0" w:line="240"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366301</w:t>
            </w:r>
          </w:p>
        </w:tc>
        <w:tc>
          <w:tcPr>
            <w:tcW w:w="1277" w:type="dxa"/>
            <w:shd w:val="clear" w:color="auto" w:fill="auto"/>
          </w:tcPr>
          <w:p w:rsidR="005941C9" w:rsidRDefault="00A77877">
            <w:pPr>
              <w:spacing w:after="0" w:line="240" w:lineRule="auto"/>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388384</w:t>
            </w:r>
          </w:p>
        </w:tc>
        <w:tc>
          <w:tcPr>
            <w:tcW w:w="1275" w:type="dxa"/>
          </w:tcPr>
          <w:p w:rsidR="005941C9" w:rsidRDefault="00A77877">
            <w:pPr>
              <w:spacing w:after="0" w:line="240"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390321</w:t>
            </w:r>
          </w:p>
        </w:tc>
      </w:tr>
      <w:tr w:rsidR="005941C9">
        <w:trPr>
          <w:trHeight w:val="315"/>
        </w:trPr>
        <w:tc>
          <w:tcPr>
            <w:tcW w:w="3114" w:type="dxa"/>
            <w:shd w:val="clear" w:color="auto" w:fill="FFFFFF"/>
            <w:vAlign w:val="bottom"/>
          </w:tcPr>
          <w:p w:rsidR="005941C9" w:rsidRDefault="00A77877">
            <w:pPr>
              <w:spacing w:after="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Приходи от ТБО/ 1 тон отпадъци</w:t>
            </w:r>
          </w:p>
        </w:tc>
        <w:tc>
          <w:tcPr>
            <w:tcW w:w="1276" w:type="dxa"/>
            <w:shd w:val="clear" w:color="auto" w:fill="auto"/>
          </w:tcPr>
          <w:p w:rsidR="005941C9" w:rsidRDefault="00A77877">
            <w:pPr>
              <w:spacing w:after="0" w:line="240"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635,77</w:t>
            </w:r>
          </w:p>
        </w:tc>
        <w:tc>
          <w:tcPr>
            <w:tcW w:w="1275" w:type="dxa"/>
            <w:shd w:val="clear" w:color="auto" w:fill="auto"/>
          </w:tcPr>
          <w:p w:rsidR="005941C9" w:rsidRDefault="00A77877">
            <w:pPr>
              <w:spacing w:after="0" w:line="240"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552,88</w:t>
            </w:r>
          </w:p>
        </w:tc>
        <w:tc>
          <w:tcPr>
            <w:tcW w:w="1275" w:type="dxa"/>
            <w:shd w:val="clear" w:color="auto" w:fill="auto"/>
          </w:tcPr>
          <w:p w:rsidR="005941C9" w:rsidRDefault="00A77877">
            <w:pPr>
              <w:spacing w:after="0" w:line="240"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605,52</w:t>
            </w:r>
          </w:p>
        </w:tc>
        <w:tc>
          <w:tcPr>
            <w:tcW w:w="1277" w:type="dxa"/>
            <w:shd w:val="clear" w:color="auto" w:fill="auto"/>
          </w:tcPr>
          <w:p w:rsidR="005941C9" w:rsidRDefault="00A77877">
            <w:pPr>
              <w:spacing w:after="0" w:line="240"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617,92</w:t>
            </w:r>
          </w:p>
        </w:tc>
        <w:tc>
          <w:tcPr>
            <w:tcW w:w="1275" w:type="dxa"/>
          </w:tcPr>
          <w:p w:rsidR="005941C9" w:rsidRDefault="00A77877">
            <w:pPr>
              <w:spacing w:after="0" w:line="240"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582,20</w:t>
            </w:r>
          </w:p>
        </w:tc>
      </w:tr>
    </w:tbl>
    <w:p w:rsidR="005941C9" w:rsidRDefault="00A77877">
      <w:pPr>
        <w:jc w:val="right"/>
        <w:rPr>
          <w:rFonts w:ascii="Palatino Linotype" w:eastAsia="Palatino Linotype" w:hAnsi="Palatino Linotype" w:cs="Palatino Linotype"/>
          <w:i/>
          <w:sz w:val="20"/>
          <w:szCs w:val="20"/>
        </w:rPr>
      </w:pPr>
      <w:r>
        <w:rPr>
          <w:rFonts w:ascii="Palatino Linotype" w:eastAsia="Palatino Linotype" w:hAnsi="Palatino Linotype" w:cs="Palatino Linotype"/>
          <w:i/>
          <w:sz w:val="20"/>
          <w:szCs w:val="20"/>
        </w:rPr>
        <w:t>*Източник за бр. население НСИ, количество отпадъци Столична община</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Приходите от такса битови отпадъци отнесени към населението показват динамика през годините.  След 2017 г. те нарастват, като достигат своя пик пред 2019 г.  Приходите от ТБО на 1 тон отпадъци нарастват от 2017 г до 2019 г и спадат през 2020 г. </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Тези показатели са изследвани в НПУО за период от 2016-2018 г. Ще извършим сравнителен анализ на показателите само за съвпадащите три години.</w:t>
      </w:r>
    </w:p>
    <w:p w:rsidR="005941C9" w:rsidRDefault="005941C9">
      <w:pPr>
        <w:spacing w:line="276" w:lineRule="auto"/>
        <w:jc w:val="both"/>
        <w:rPr>
          <w:rFonts w:ascii="Palatino Linotype" w:eastAsia="Palatino Linotype" w:hAnsi="Palatino Linotype" w:cs="Palatino Linotype"/>
        </w:rPr>
      </w:pPr>
    </w:p>
    <w:p w:rsidR="005941C9" w:rsidRDefault="005941C9">
      <w:pPr>
        <w:spacing w:line="276" w:lineRule="auto"/>
        <w:jc w:val="both"/>
        <w:rPr>
          <w:rFonts w:ascii="Palatino Linotype" w:eastAsia="Palatino Linotype" w:hAnsi="Palatino Linotype" w:cs="Palatino Linotype"/>
        </w:rPr>
      </w:pPr>
    </w:p>
    <w:p w:rsidR="005941C9" w:rsidRDefault="00A77877">
      <w:pPr>
        <w:pBdr>
          <w:top w:val="nil"/>
          <w:left w:val="nil"/>
          <w:bottom w:val="nil"/>
          <w:right w:val="nil"/>
          <w:between w:val="nil"/>
        </w:pBdr>
        <w:spacing w:after="0" w:line="240" w:lineRule="auto"/>
        <w:rPr>
          <w:rFonts w:ascii="Palatino Linotype" w:eastAsia="Palatino Linotype" w:hAnsi="Palatino Linotype" w:cs="Palatino Linotype"/>
          <w:i/>
          <w:color w:val="44546A"/>
          <w:sz w:val="20"/>
          <w:szCs w:val="20"/>
        </w:rPr>
      </w:pPr>
      <w:r>
        <w:rPr>
          <w:rFonts w:ascii="Palatino Linotype" w:eastAsia="Palatino Linotype" w:hAnsi="Palatino Linotype" w:cs="Palatino Linotype"/>
          <w:i/>
          <w:color w:val="44546A"/>
          <w:sz w:val="20"/>
          <w:szCs w:val="20"/>
        </w:rPr>
        <w:t xml:space="preserve">Таблица 4 Сравнителен анализ за показателите от такса битови отпадъци на 1 жител и на 1 тон отпадък спрямо НПУО 2021-2028 г.   </w:t>
      </w:r>
    </w:p>
    <w:tbl>
      <w:tblPr>
        <w:tblStyle w:val="a3"/>
        <w:tblW w:w="9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1403"/>
        <w:gridCol w:w="1134"/>
        <w:gridCol w:w="1276"/>
      </w:tblGrid>
      <w:tr w:rsidR="005941C9">
        <w:tc>
          <w:tcPr>
            <w:tcW w:w="5382" w:type="dxa"/>
            <w:shd w:val="clear" w:color="auto" w:fill="ACB9CA"/>
          </w:tcPr>
          <w:p w:rsidR="005941C9" w:rsidRDefault="005941C9">
            <w:pPr>
              <w:spacing w:after="160" w:line="259" w:lineRule="auto"/>
              <w:jc w:val="both"/>
              <w:rPr>
                <w:rFonts w:ascii="Palatino Linotype" w:eastAsia="Palatino Linotype" w:hAnsi="Palatino Linotype" w:cs="Palatino Linotype"/>
                <w:b/>
                <w:sz w:val="20"/>
                <w:szCs w:val="20"/>
              </w:rPr>
            </w:pPr>
          </w:p>
        </w:tc>
        <w:tc>
          <w:tcPr>
            <w:tcW w:w="1403" w:type="dxa"/>
            <w:shd w:val="clear" w:color="auto" w:fill="ACB9CA"/>
          </w:tcPr>
          <w:p w:rsidR="005941C9" w:rsidRDefault="00A77877">
            <w:pPr>
              <w:spacing w:after="160" w:line="259" w:lineRule="auto"/>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2016</w:t>
            </w:r>
          </w:p>
        </w:tc>
        <w:tc>
          <w:tcPr>
            <w:tcW w:w="1134" w:type="dxa"/>
            <w:shd w:val="clear" w:color="auto" w:fill="ACB9CA"/>
          </w:tcPr>
          <w:p w:rsidR="005941C9" w:rsidRDefault="00A77877">
            <w:pPr>
              <w:spacing w:after="160" w:line="259" w:lineRule="auto"/>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2017</w:t>
            </w:r>
          </w:p>
        </w:tc>
        <w:tc>
          <w:tcPr>
            <w:tcW w:w="1276" w:type="dxa"/>
            <w:shd w:val="clear" w:color="auto" w:fill="ACB9CA"/>
          </w:tcPr>
          <w:p w:rsidR="005941C9" w:rsidRDefault="00A77877">
            <w:pPr>
              <w:spacing w:after="160" w:line="259" w:lineRule="auto"/>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2018</w:t>
            </w:r>
          </w:p>
        </w:tc>
      </w:tr>
      <w:tr w:rsidR="005941C9">
        <w:tc>
          <w:tcPr>
            <w:tcW w:w="9195" w:type="dxa"/>
            <w:gridSpan w:val="4"/>
          </w:tcPr>
          <w:p w:rsidR="005941C9" w:rsidRDefault="00A77877">
            <w:pPr>
              <w:spacing w:after="160" w:line="259" w:lineRule="auto"/>
              <w:jc w:val="both"/>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Приходи от такса битови отпадъци на 1 жител (в лв.)</w:t>
            </w:r>
          </w:p>
        </w:tc>
      </w:tr>
      <w:tr w:rsidR="005941C9">
        <w:tc>
          <w:tcPr>
            <w:tcW w:w="5382" w:type="dxa"/>
          </w:tcPr>
          <w:p w:rsidR="005941C9" w:rsidRDefault="00A77877">
            <w:pPr>
              <w:spacing w:after="160" w:line="259"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Приходи от такса битови отпадъци/1 жител много големи общини (над 100 хил. жители) НПУО</w:t>
            </w:r>
          </w:p>
        </w:tc>
        <w:tc>
          <w:tcPr>
            <w:tcW w:w="1403" w:type="dxa"/>
          </w:tcPr>
          <w:p w:rsidR="005941C9" w:rsidRDefault="00A77877">
            <w:pPr>
              <w:spacing w:after="160" w:line="259"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73,78</w:t>
            </w:r>
          </w:p>
        </w:tc>
        <w:tc>
          <w:tcPr>
            <w:tcW w:w="1134" w:type="dxa"/>
          </w:tcPr>
          <w:p w:rsidR="005941C9" w:rsidRDefault="00A77877">
            <w:pPr>
              <w:spacing w:after="160" w:line="259"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75,27</w:t>
            </w:r>
          </w:p>
        </w:tc>
        <w:tc>
          <w:tcPr>
            <w:tcW w:w="1276" w:type="dxa"/>
          </w:tcPr>
          <w:p w:rsidR="005941C9" w:rsidRDefault="00A77877">
            <w:pPr>
              <w:spacing w:after="160" w:line="259"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75,53</w:t>
            </w:r>
          </w:p>
        </w:tc>
      </w:tr>
      <w:tr w:rsidR="005941C9">
        <w:tc>
          <w:tcPr>
            <w:tcW w:w="5382" w:type="dxa"/>
          </w:tcPr>
          <w:p w:rsidR="005941C9" w:rsidRDefault="00A77877">
            <w:pPr>
              <w:spacing w:after="160" w:line="259"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Приходи от такса битови отпадъци/1 жител средно за България НПУО</w:t>
            </w:r>
          </w:p>
        </w:tc>
        <w:tc>
          <w:tcPr>
            <w:tcW w:w="1403" w:type="dxa"/>
          </w:tcPr>
          <w:p w:rsidR="005941C9" w:rsidRDefault="00A77877">
            <w:pPr>
              <w:spacing w:after="160" w:line="259"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77,59</w:t>
            </w:r>
          </w:p>
        </w:tc>
        <w:tc>
          <w:tcPr>
            <w:tcW w:w="1134" w:type="dxa"/>
          </w:tcPr>
          <w:p w:rsidR="005941C9" w:rsidRDefault="00A77877">
            <w:pPr>
              <w:spacing w:after="160" w:line="259"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79,40</w:t>
            </w:r>
          </w:p>
        </w:tc>
        <w:tc>
          <w:tcPr>
            <w:tcW w:w="1276" w:type="dxa"/>
          </w:tcPr>
          <w:p w:rsidR="005941C9" w:rsidRDefault="00A77877">
            <w:pPr>
              <w:spacing w:after="160" w:line="259"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84,10</w:t>
            </w:r>
          </w:p>
        </w:tc>
      </w:tr>
      <w:tr w:rsidR="005941C9">
        <w:tc>
          <w:tcPr>
            <w:tcW w:w="5382" w:type="dxa"/>
          </w:tcPr>
          <w:p w:rsidR="005941C9" w:rsidRDefault="00A77877">
            <w:pPr>
              <w:spacing w:after="160" w:line="259"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Приходи от такса битови отпадъци/1 жител Столична община </w:t>
            </w:r>
          </w:p>
        </w:tc>
        <w:tc>
          <w:tcPr>
            <w:tcW w:w="1403" w:type="dxa"/>
          </w:tcPr>
          <w:p w:rsidR="005941C9" w:rsidRDefault="00A77877">
            <w:pPr>
              <w:spacing w:after="160" w:line="259"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155,64</w:t>
            </w:r>
          </w:p>
        </w:tc>
        <w:tc>
          <w:tcPr>
            <w:tcW w:w="1134" w:type="dxa"/>
          </w:tcPr>
          <w:p w:rsidR="005941C9" w:rsidRDefault="00A77877">
            <w:pPr>
              <w:spacing w:after="160" w:line="259"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148,55</w:t>
            </w:r>
          </w:p>
        </w:tc>
        <w:tc>
          <w:tcPr>
            <w:tcW w:w="1276" w:type="dxa"/>
          </w:tcPr>
          <w:p w:rsidR="005941C9" w:rsidRDefault="00A77877">
            <w:pPr>
              <w:spacing w:after="160" w:line="259"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167,01</w:t>
            </w:r>
          </w:p>
        </w:tc>
      </w:tr>
      <w:tr w:rsidR="005941C9">
        <w:tc>
          <w:tcPr>
            <w:tcW w:w="9195" w:type="dxa"/>
            <w:gridSpan w:val="4"/>
          </w:tcPr>
          <w:p w:rsidR="005941C9" w:rsidRDefault="00A77877">
            <w:pPr>
              <w:spacing w:after="160" w:line="259" w:lineRule="auto"/>
              <w:jc w:val="both"/>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Приходи от такса битови отпадъци на 1 тон отпадък (в лв.)</w:t>
            </w:r>
          </w:p>
        </w:tc>
      </w:tr>
      <w:tr w:rsidR="005941C9">
        <w:tc>
          <w:tcPr>
            <w:tcW w:w="5382" w:type="dxa"/>
          </w:tcPr>
          <w:p w:rsidR="005941C9" w:rsidRDefault="00A77877">
            <w:pPr>
              <w:spacing w:after="160" w:line="259"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Приходи от такса битови отпадъци/1 тон отпадъци много големи общини (над 100 хил. жители) НПУО</w:t>
            </w:r>
          </w:p>
        </w:tc>
        <w:tc>
          <w:tcPr>
            <w:tcW w:w="1403" w:type="dxa"/>
          </w:tcPr>
          <w:p w:rsidR="005941C9" w:rsidRDefault="00A77877">
            <w:pPr>
              <w:spacing w:after="160" w:line="259"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163,28</w:t>
            </w:r>
          </w:p>
        </w:tc>
        <w:tc>
          <w:tcPr>
            <w:tcW w:w="1134" w:type="dxa"/>
          </w:tcPr>
          <w:p w:rsidR="005941C9" w:rsidRDefault="00A77877">
            <w:pPr>
              <w:spacing w:after="160" w:line="259"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162,49</w:t>
            </w:r>
          </w:p>
        </w:tc>
        <w:tc>
          <w:tcPr>
            <w:tcW w:w="1276" w:type="dxa"/>
          </w:tcPr>
          <w:p w:rsidR="005941C9" w:rsidRDefault="00A77877">
            <w:pPr>
              <w:spacing w:after="160" w:line="259"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178,69</w:t>
            </w:r>
          </w:p>
        </w:tc>
      </w:tr>
      <w:tr w:rsidR="005941C9">
        <w:tc>
          <w:tcPr>
            <w:tcW w:w="5382" w:type="dxa"/>
          </w:tcPr>
          <w:p w:rsidR="005941C9" w:rsidRDefault="00A77877">
            <w:pPr>
              <w:spacing w:after="160" w:line="259"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Приходи от такса битови отпадъци/1 тон отпадъци средно за България НПУО</w:t>
            </w:r>
          </w:p>
        </w:tc>
        <w:tc>
          <w:tcPr>
            <w:tcW w:w="1403" w:type="dxa"/>
          </w:tcPr>
          <w:p w:rsidR="005941C9" w:rsidRDefault="00A77877">
            <w:pPr>
              <w:spacing w:after="160" w:line="259"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173,54</w:t>
            </w:r>
          </w:p>
        </w:tc>
        <w:tc>
          <w:tcPr>
            <w:tcW w:w="1134" w:type="dxa"/>
          </w:tcPr>
          <w:p w:rsidR="005941C9" w:rsidRDefault="00A77877">
            <w:pPr>
              <w:spacing w:after="160" w:line="259"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166,90</w:t>
            </w:r>
          </w:p>
        </w:tc>
        <w:tc>
          <w:tcPr>
            <w:tcW w:w="1276" w:type="dxa"/>
          </w:tcPr>
          <w:p w:rsidR="005941C9" w:rsidRDefault="00A77877">
            <w:pPr>
              <w:spacing w:after="160" w:line="259"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186,57</w:t>
            </w:r>
          </w:p>
        </w:tc>
      </w:tr>
      <w:tr w:rsidR="005941C9">
        <w:tc>
          <w:tcPr>
            <w:tcW w:w="5382" w:type="dxa"/>
          </w:tcPr>
          <w:p w:rsidR="005941C9" w:rsidRDefault="00A77877">
            <w:pPr>
              <w:spacing w:after="160" w:line="259"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Приходи от такса битови отпадъци/1 тон отпадъци Столична община </w:t>
            </w:r>
          </w:p>
        </w:tc>
        <w:tc>
          <w:tcPr>
            <w:tcW w:w="1403" w:type="dxa"/>
            <w:shd w:val="clear" w:color="auto" w:fill="auto"/>
          </w:tcPr>
          <w:p w:rsidR="005941C9" w:rsidRDefault="00A77877">
            <w:pPr>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635,77</w:t>
            </w:r>
          </w:p>
        </w:tc>
        <w:tc>
          <w:tcPr>
            <w:tcW w:w="1134" w:type="dxa"/>
            <w:shd w:val="clear" w:color="auto" w:fill="auto"/>
          </w:tcPr>
          <w:p w:rsidR="005941C9" w:rsidRDefault="00A77877">
            <w:pPr>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552,88</w:t>
            </w:r>
          </w:p>
        </w:tc>
        <w:tc>
          <w:tcPr>
            <w:tcW w:w="1276" w:type="dxa"/>
            <w:shd w:val="clear" w:color="auto" w:fill="auto"/>
          </w:tcPr>
          <w:p w:rsidR="005941C9" w:rsidRDefault="00A77877">
            <w:pPr>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605,52</w:t>
            </w:r>
          </w:p>
        </w:tc>
      </w:tr>
    </w:tbl>
    <w:p w:rsidR="005941C9" w:rsidRDefault="00A77877">
      <w:pPr>
        <w:jc w:val="right"/>
        <w:rPr>
          <w:rFonts w:ascii="Palatino Linotype" w:eastAsia="Palatino Linotype" w:hAnsi="Palatino Linotype" w:cs="Palatino Linotype"/>
          <w:i/>
          <w:sz w:val="18"/>
          <w:szCs w:val="18"/>
        </w:rPr>
      </w:pPr>
      <w:r>
        <w:rPr>
          <w:rFonts w:ascii="Palatino Linotype" w:eastAsia="Palatino Linotype" w:hAnsi="Palatino Linotype" w:cs="Palatino Linotype"/>
          <w:i/>
          <w:sz w:val="18"/>
          <w:szCs w:val="18"/>
        </w:rPr>
        <w:t>Източник: НПУО 2021-2028 г., собствени изчисления</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От направеното сравнение на показателите може да се направи извода, че Столична община реализира по-високи приходи от такса битови отпадъци на 1 жител и на 1 тон отпадъци  спрямо тези показатели  изчислени в НПУО средно за най-големите общини и средно за страната. Това се дължи от една страна на по-високата данъчна оценка на имотите и от друга на по-голямата концентрация фирми  в Столична община.  </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В следващата таблица е показана структурата на постъпленията от такса битови отпадъци, платена от домакинствата и бизнеса на 1 тон отпадъци. </w:t>
      </w:r>
    </w:p>
    <w:p w:rsidR="005941C9" w:rsidRDefault="00A77877">
      <w:pPr>
        <w:pBdr>
          <w:top w:val="nil"/>
          <w:left w:val="nil"/>
          <w:bottom w:val="nil"/>
          <w:right w:val="nil"/>
          <w:between w:val="nil"/>
        </w:pBdr>
        <w:spacing w:after="200" w:line="240" w:lineRule="auto"/>
        <w:jc w:val="both"/>
        <w:rPr>
          <w:rFonts w:ascii="Palatino Linotype" w:eastAsia="Palatino Linotype" w:hAnsi="Palatino Linotype" w:cs="Palatino Linotype"/>
          <w:i/>
          <w:color w:val="44546A"/>
          <w:sz w:val="20"/>
          <w:szCs w:val="20"/>
        </w:rPr>
      </w:pPr>
      <w:r>
        <w:rPr>
          <w:rFonts w:ascii="Palatino Linotype" w:eastAsia="Palatino Linotype" w:hAnsi="Palatino Linotype" w:cs="Palatino Linotype"/>
          <w:i/>
          <w:color w:val="44546A"/>
          <w:sz w:val="20"/>
          <w:szCs w:val="20"/>
        </w:rPr>
        <w:t>Таблица 5 Такса за битови отпадъци, заплатени от домакинствата  и юридическите лица на 1 тон генерирани отпадъци</w:t>
      </w:r>
    </w:p>
    <w:tbl>
      <w:tblPr>
        <w:tblStyle w:val="a4"/>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4"/>
        <w:gridCol w:w="1276"/>
        <w:gridCol w:w="1275"/>
        <w:gridCol w:w="1275"/>
        <w:gridCol w:w="1277"/>
        <w:gridCol w:w="1275"/>
      </w:tblGrid>
      <w:tr w:rsidR="005941C9">
        <w:trPr>
          <w:trHeight w:val="253"/>
          <w:tblHeader/>
        </w:trPr>
        <w:tc>
          <w:tcPr>
            <w:tcW w:w="3114" w:type="dxa"/>
            <w:shd w:val="clear" w:color="auto" w:fill="ACB9CA"/>
            <w:vAlign w:val="bottom"/>
          </w:tcPr>
          <w:p w:rsidR="005941C9" w:rsidRDefault="00A77877">
            <w:pPr>
              <w:spacing w:after="0" w:line="240" w:lineRule="auto"/>
              <w:jc w:val="center"/>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Година</w:t>
            </w:r>
          </w:p>
        </w:tc>
        <w:tc>
          <w:tcPr>
            <w:tcW w:w="1276" w:type="dxa"/>
            <w:shd w:val="clear" w:color="auto" w:fill="ACB9CA"/>
            <w:vAlign w:val="center"/>
          </w:tcPr>
          <w:p w:rsidR="005941C9" w:rsidRDefault="00A77877">
            <w:pPr>
              <w:spacing w:after="0" w:line="240" w:lineRule="auto"/>
              <w:jc w:val="center"/>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2016</w:t>
            </w:r>
          </w:p>
        </w:tc>
        <w:tc>
          <w:tcPr>
            <w:tcW w:w="1275" w:type="dxa"/>
            <w:shd w:val="clear" w:color="auto" w:fill="ACB9CA"/>
            <w:vAlign w:val="center"/>
          </w:tcPr>
          <w:p w:rsidR="005941C9" w:rsidRDefault="00A77877">
            <w:pPr>
              <w:spacing w:after="0" w:line="240" w:lineRule="auto"/>
              <w:jc w:val="center"/>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2017</w:t>
            </w:r>
          </w:p>
        </w:tc>
        <w:tc>
          <w:tcPr>
            <w:tcW w:w="1275" w:type="dxa"/>
            <w:shd w:val="clear" w:color="auto" w:fill="ACB9CA"/>
            <w:vAlign w:val="center"/>
          </w:tcPr>
          <w:p w:rsidR="005941C9" w:rsidRDefault="00A77877">
            <w:pPr>
              <w:spacing w:after="0" w:line="240" w:lineRule="auto"/>
              <w:jc w:val="center"/>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2018</w:t>
            </w:r>
          </w:p>
        </w:tc>
        <w:tc>
          <w:tcPr>
            <w:tcW w:w="1277" w:type="dxa"/>
            <w:shd w:val="clear" w:color="auto" w:fill="ACB9CA"/>
            <w:vAlign w:val="center"/>
          </w:tcPr>
          <w:p w:rsidR="005941C9" w:rsidRDefault="00A77877">
            <w:pPr>
              <w:spacing w:after="0" w:line="240" w:lineRule="auto"/>
              <w:jc w:val="center"/>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2019</w:t>
            </w:r>
          </w:p>
        </w:tc>
        <w:tc>
          <w:tcPr>
            <w:tcW w:w="1275" w:type="dxa"/>
            <w:shd w:val="clear" w:color="auto" w:fill="ACB9CA"/>
          </w:tcPr>
          <w:p w:rsidR="005941C9" w:rsidRDefault="00A77877">
            <w:pPr>
              <w:spacing w:after="0" w:line="240" w:lineRule="auto"/>
              <w:jc w:val="center"/>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2020</w:t>
            </w:r>
          </w:p>
        </w:tc>
      </w:tr>
      <w:tr w:rsidR="005941C9">
        <w:trPr>
          <w:trHeight w:val="300"/>
        </w:trPr>
        <w:tc>
          <w:tcPr>
            <w:tcW w:w="3114" w:type="dxa"/>
            <w:shd w:val="clear" w:color="auto" w:fill="FFFFFF"/>
            <w:vAlign w:val="bottom"/>
          </w:tcPr>
          <w:p w:rsidR="005941C9" w:rsidRDefault="00A77877">
            <w:pPr>
              <w:spacing w:after="0" w:line="240" w:lineRule="auto"/>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Приходи от такса битови отпадъци от домакинствата (лв.):</w:t>
            </w:r>
          </w:p>
        </w:tc>
        <w:tc>
          <w:tcPr>
            <w:tcW w:w="1276"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65 510 689</w:t>
            </w:r>
          </w:p>
        </w:tc>
        <w:tc>
          <w:tcPr>
            <w:tcW w:w="1275"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64 922 166</w:t>
            </w:r>
          </w:p>
        </w:tc>
        <w:tc>
          <w:tcPr>
            <w:tcW w:w="1275"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68 774 860</w:t>
            </w:r>
          </w:p>
        </w:tc>
        <w:tc>
          <w:tcPr>
            <w:tcW w:w="1277"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75 374 789</w:t>
            </w:r>
          </w:p>
        </w:tc>
        <w:tc>
          <w:tcPr>
            <w:tcW w:w="1275" w:type="dxa"/>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66 527 891</w:t>
            </w:r>
          </w:p>
        </w:tc>
      </w:tr>
      <w:tr w:rsidR="005941C9">
        <w:trPr>
          <w:trHeight w:val="300"/>
        </w:trPr>
        <w:tc>
          <w:tcPr>
            <w:tcW w:w="3114" w:type="dxa"/>
            <w:shd w:val="clear" w:color="auto" w:fill="FFFFFF"/>
            <w:vAlign w:val="bottom"/>
          </w:tcPr>
          <w:p w:rsidR="005941C9" w:rsidRDefault="00222DE2" w:rsidP="00222DE2">
            <w:pPr>
              <w:spacing w:after="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 xml:space="preserve">Количество битови отпадъци предадени на завода за МБТ(т) </w:t>
            </w:r>
          </w:p>
        </w:tc>
        <w:tc>
          <w:tcPr>
            <w:tcW w:w="1276"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324024</w:t>
            </w:r>
          </w:p>
        </w:tc>
        <w:tc>
          <w:tcPr>
            <w:tcW w:w="1275"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356123</w:t>
            </w:r>
          </w:p>
        </w:tc>
        <w:tc>
          <w:tcPr>
            <w:tcW w:w="1275"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366301</w:t>
            </w:r>
          </w:p>
        </w:tc>
        <w:tc>
          <w:tcPr>
            <w:tcW w:w="1277"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388384</w:t>
            </w:r>
          </w:p>
        </w:tc>
        <w:tc>
          <w:tcPr>
            <w:tcW w:w="1275" w:type="dxa"/>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390321</w:t>
            </w:r>
          </w:p>
        </w:tc>
      </w:tr>
      <w:tr w:rsidR="005941C9">
        <w:trPr>
          <w:trHeight w:val="315"/>
        </w:trPr>
        <w:tc>
          <w:tcPr>
            <w:tcW w:w="3114" w:type="dxa"/>
            <w:shd w:val="clear" w:color="auto" w:fill="FFFFFF"/>
            <w:vAlign w:val="bottom"/>
          </w:tcPr>
          <w:p w:rsidR="005941C9" w:rsidRDefault="00A77877">
            <w:pPr>
              <w:spacing w:after="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ТБО/1 тон отпадъци - домакинства (лв.)</w:t>
            </w:r>
          </w:p>
        </w:tc>
        <w:tc>
          <w:tcPr>
            <w:tcW w:w="1276" w:type="dxa"/>
            <w:shd w:val="clear" w:color="auto" w:fill="auto"/>
          </w:tcPr>
          <w:p w:rsidR="005941C9" w:rsidRDefault="00A77877">
            <w:pPr>
              <w:spacing w:after="0" w:line="240"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202,18</w:t>
            </w:r>
          </w:p>
        </w:tc>
        <w:tc>
          <w:tcPr>
            <w:tcW w:w="1275" w:type="dxa"/>
            <w:shd w:val="clear" w:color="auto" w:fill="auto"/>
          </w:tcPr>
          <w:p w:rsidR="005941C9" w:rsidRDefault="00A77877">
            <w:pPr>
              <w:spacing w:after="0" w:line="240" w:lineRule="auto"/>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182,30</w:t>
            </w:r>
          </w:p>
        </w:tc>
        <w:tc>
          <w:tcPr>
            <w:tcW w:w="1275" w:type="dxa"/>
            <w:shd w:val="clear" w:color="auto" w:fill="auto"/>
          </w:tcPr>
          <w:p w:rsidR="005941C9" w:rsidRDefault="00A77877">
            <w:pPr>
              <w:spacing w:after="0" w:line="240"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187,76</w:t>
            </w:r>
          </w:p>
        </w:tc>
        <w:tc>
          <w:tcPr>
            <w:tcW w:w="1277" w:type="dxa"/>
            <w:shd w:val="clear" w:color="auto" w:fill="auto"/>
          </w:tcPr>
          <w:p w:rsidR="005941C9" w:rsidRDefault="00A77877">
            <w:pPr>
              <w:spacing w:after="0" w:line="240"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194,07</w:t>
            </w:r>
          </w:p>
        </w:tc>
        <w:tc>
          <w:tcPr>
            <w:tcW w:w="1275" w:type="dxa"/>
          </w:tcPr>
          <w:p w:rsidR="005941C9" w:rsidRDefault="00A77877">
            <w:pPr>
              <w:spacing w:after="0" w:line="240" w:lineRule="auto"/>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170,44</w:t>
            </w:r>
          </w:p>
        </w:tc>
      </w:tr>
      <w:tr w:rsidR="005941C9">
        <w:trPr>
          <w:trHeight w:val="315"/>
        </w:trPr>
        <w:tc>
          <w:tcPr>
            <w:tcW w:w="3114" w:type="dxa"/>
            <w:shd w:val="clear" w:color="auto" w:fill="FFFFFF"/>
            <w:vAlign w:val="bottom"/>
          </w:tcPr>
          <w:p w:rsidR="005941C9" w:rsidRDefault="00A77877">
            <w:pPr>
              <w:spacing w:after="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b/>
                <w:color w:val="000000"/>
                <w:sz w:val="20"/>
                <w:szCs w:val="20"/>
              </w:rPr>
              <w:t>Приходи от такса битови отпадъци от юридически лица (лв.):</w:t>
            </w:r>
          </w:p>
        </w:tc>
        <w:tc>
          <w:tcPr>
            <w:tcW w:w="1276"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140 494 485</w:t>
            </w:r>
          </w:p>
        </w:tc>
        <w:tc>
          <w:tcPr>
            <w:tcW w:w="1275"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131 971 230</w:t>
            </w:r>
          </w:p>
        </w:tc>
        <w:tc>
          <w:tcPr>
            <w:tcW w:w="1275"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153 028 667</w:t>
            </w:r>
          </w:p>
        </w:tc>
        <w:tc>
          <w:tcPr>
            <w:tcW w:w="1277" w:type="dxa"/>
            <w:shd w:val="clear" w:color="auto" w:fill="auto"/>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164 616 828</w:t>
            </w:r>
          </w:p>
        </w:tc>
        <w:tc>
          <w:tcPr>
            <w:tcW w:w="1275" w:type="dxa"/>
          </w:tcPr>
          <w:p w:rsidR="005941C9" w:rsidRDefault="00A77877">
            <w:pPr>
              <w:spacing w:after="120"/>
              <w:jc w:val="right"/>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160 715 902</w:t>
            </w:r>
          </w:p>
        </w:tc>
      </w:tr>
      <w:tr w:rsidR="005941C9">
        <w:trPr>
          <w:trHeight w:val="315"/>
        </w:trPr>
        <w:tc>
          <w:tcPr>
            <w:tcW w:w="3114" w:type="dxa"/>
            <w:shd w:val="clear" w:color="auto" w:fill="FFFFFF"/>
            <w:vAlign w:val="bottom"/>
          </w:tcPr>
          <w:p w:rsidR="005941C9" w:rsidRDefault="00A77877">
            <w:pPr>
              <w:spacing w:after="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ТБО/1 тон отпадъци – юридически лица (лв.)</w:t>
            </w:r>
          </w:p>
        </w:tc>
        <w:tc>
          <w:tcPr>
            <w:tcW w:w="1276" w:type="dxa"/>
            <w:shd w:val="clear" w:color="auto" w:fill="auto"/>
          </w:tcPr>
          <w:p w:rsidR="005941C9" w:rsidRDefault="00A77877">
            <w:pPr>
              <w:spacing w:after="0" w:line="240" w:lineRule="auto"/>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433,59</w:t>
            </w:r>
          </w:p>
        </w:tc>
        <w:tc>
          <w:tcPr>
            <w:tcW w:w="1275" w:type="dxa"/>
            <w:shd w:val="clear" w:color="auto" w:fill="auto"/>
          </w:tcPr>
          <w:p w:rsidR="005941C9" w:rsidRDefault="00A77877">
            <w:pPr>
              <w:spacing w:after="0" w:line="240" w:lineRule="auto"/>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370,58</w:t>
            </w:r>
          </w:p>
        </w:tc>
        <w:tc>
          <w:tcPr>
            <w:tcW w:w="1275" w:type="dxa"/>
            <w:shd w:val="clear" w:color="auto" w:fill="auto"/>
          </w:tcPr>
          <w:p w:rsidR="005941C9" w:rsidRDefault="00A77877">
            <w:pPr>
              <w:spacing w:after="0" w:line="240" w:lineRule="auto"/>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417,77</w:t>
            </w:r>
          </w:p>
        </w:tc>
        <w:tc>
          <w:tcPr>
            <w:tcW w:w="1277" w:type="dxa"/>
            <w:shd w:val="clear" w:color="auto" w:fill="auto"/>
          </w:tcPr>
          <w:p w:rsidR="005941C9" w:rsidRDefault="00A77877">
            <w:pPr>
              <w:spacing w:after="0" w:line="240" w:lineRule="auto"/>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423,85</w:t>
            </w:r>
          </w:p>
        </w:tc>
        <w:tc>
          <w:tcPr>
            <w:tcW w:w="1275" w:type="dxa"/>
          </w:tcPr>
          <w:p w:rsidR="005941C9" w:rsidRDefault="00A77877">
            <w:pPr>
              <w:spacing w:after="0" w:line="240" w:lineRule="auto"/>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411,75</w:t>
            </w:r>
          </w:p>
        </w:tc>
      </w:tr>
    </w:tbl>
    <w:p w:rsidR="005941C9" w:rsidRDefault="00A77877">
      <w:pPr>
        <w:jc w:val="right"/>
        <w:rPr>
          <w:i/>
          <w:sz w:val="18"/>
          <w:szCs w:val="18"/>
        </w:rPr>
      </w:pPr>
      <w:r>
        <w:rPr>
          <w:i/>
          <w:sz w:val="18"/>
          <w:szCs w:val="18"/>
        </w:rPr>
        <w:t>Източник: Столична община</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Тези показатели са изследвани в НПУО за период от 2015-2018 г. Ще извършим сравнителен анализ на показателите само за съвпадащите три години.</w:t>
      </w:r>
    </w:p>
    <w:p w:rsidR="005941C9" w:rsidRDefault="00A77877">
      <w:pPr>
        <w:pBdr>
          <w:top w:val="nil"/>
          <w:left w:val="nil"/>
          <w:bottom w:val="nil"/>
          <w:right w:val="nil"/>
          <w:between w:val="nil"/>
        </w:pBdr>
        <w:spacing w:after="0" w:line="240" w:lineRule="auto"/>
        <w:jc w:val="both"/>
        <w:rPr>
          <w:rFonts w:ascii="Palatino Linotype" w:eastAsia="Palatino Linotype" w:hAnsi="Palatino Linotype" w:cs="Palatino Linotype"/>
          <w:i/>
          <w:color w:val="44546A"/>
          <w:sz w:val="20"/>
          <w:szCs w:val="20"/>
        </w:rPr>
      </w:pPr>
      <w:r>
        <w:rPr>
          <w:rFonts w:ascii="Palatino Linotype" w:eastAsia="Palatino Linotype" w:hAnsi="Palatino Linotype" w:cs="Palatino Linotype"/>
          <w:i/>
          <w:color w:val="44546A"/>
          <w:sz w:val="20"/>
          <w:szCs w:val="20"/>
        </w:rPr>
        <w:t xml:space="preserve">Таблица 6 Сравнителен анализ за показателите от такса битови отпадъци  на 1 тон отпадък платени от домакинствата и от бизнеса спрямо НПУО 2021-2028 г.   </w:t>
      </w:r>
    </w:p>
    <w:tbl>
      <w:tblPr>
        <w:tblStyle w:val="a5"/>
        <w:tblW w:w="9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1403"/>
        <w:gridCol w:w="1134"/>
        <w:gridCol w:w="1276"/>
      </w:tblGrid>
      <w:tr w:rsidR="005941C9">
        <w:tc>
          <w:tcPr>
            <w:tcW w:w="5382" w:type="dxa"/>
            <w:shd w:val="clear" w:color="auto" w:fill="ACB9CA"/>
          </w:tcPr>
          <w:p w:rsidR="005941C9" w:rsidRDefault="005941C9">
            <w:pPr>
              <w:spacing w:after="160" w:line="259" w:lineRule="auto"/>
              <w:jc w:val="both"/>
              <w:rPr>
                <w:rFonts w:ascii="Palatino Linotype" w:eastAsia="Palatino Linotype" w:hAnsi="Palatino Linotype" w:cs="Palatino Linotype"/>
                <w:b/>
                <w:sz w:val="20"/>
                <w:szCs w:val="20"/>
              </w:rPr>
            </w:pPr>
          </w:p>
        </w:tc>
        <w:tc>
          <w:tcPr>
            <w:tcW w:w="1403" w:type="dxa"/>
            <w:shd w:val="clear" w:color="auto" w:fill="ACB9CA"/>
          </w:tcPr>
          <w:p w:rsidR="005941C9" w:rsidRDefault="00A77877">
            <w:pPr>
              <w:spacing w:after="160" w:line="259" w:lineRule="auto"/>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2016</w:t>
            </w:r>
          </w:p>
        </w:tc>
        <w:tc>
          <w:tcPr>
            <w:tcW w:w="1134" w:type="dxa"/>
            <w:shd w:val="clear" w:color="auto" w:fill="ACB9CA"/>
          </w:tcPr>
          <w:p w:rsidR="005941C9" w:rsidRDefault="00A77877">
            <w:pPr>
              <w:spacing w:after="160" w:line="259" w:lineRule="auto"/>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2017</w:t>
            </w:r>
          </w:p>
        </w:tc>
        <w:tc>
          <w:tcPr>
            <w:tcW w:w="1276" w:type="dxa"/>
            <w:shd w:val="clear" w:color="auto" w:fill="ACB9CA"/>
          </w:tcPr>
          <w:p w:rsidR="005941C9" w:rsidRDefault="00A77877">
            <w:pPr>
              <w:spacing w:after="160" w:line="259" w:lineRule="auto"/>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2018</w:t>
            </w:r>
          </w:p>
        </w:tc>
      </w:tr>
      <w:tr w:rsidR="005941C9">
        <w:tc>
          <w:tcPr>
            <w:tcW w:w="9195" w:type="dxa"/>
            <w:gridSpan w:val="4"/>
          </w:tcPr>
          <w:p w:rsidR="005941C9" w:rsidRDefault="00A77877">
            <w:pPr>
              <w:spacing w:after="160" w:line="259" w:lineRule="auto"/>
              <w:jc w:val="both"/>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Такса битови отпадъци/1 тон – население (лв.)</w:t>
            </w:r>
          </w:p>
        </w:tc>
      </w:tr>
      <w:tr w:rsidR="005941C9">
        <w:tc>
          <w:tcPr>
            <w:tcW w:w="5382" w:type="dxa"/>
          </w:tcPr>
          <w:p w:rsidR="005941C9" w:rsidRDefault="00A77877">
            <w:pPr>
              <w:spacing w:after="160" w:line="259"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Приходи от такса битови отпадъци/1 тон отпадък  много големи общини (над 100 хил. жители) НПУО</w:t>
            </w:r>
          </w:p>
        </w:tc>
        <w:tc>
          <w:tcPr>
            <w:tcW w:w="1403" w:type="dxa"/>
          </w:tcPr>
          <w:p w:rsidR="005941C9" w:rsidRDefault="00A77877">
            <w:pPr>
              <w:spacing w:after="160" w:line="259" w:lineRule="auto"/>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84,52</w:t>
            </w:r>
          </w:p>
        </w:tc>
        <w:tc>
          <w:tcPr>
            <w:tcW w:w="1134" w:type="dxa"/>
          </w:tcPr>
          <w:p w:rsidR="005941C9" w:rsidRDefault="00A77877">
            <w:pPr>
              <w:spacing w:after="160" w:line="259" w:lineRule="auto"/>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83,28</w:t>
            </w:r>
          </w:p>
        </w:tc>
        <w:tc>
          <w:tcPr>
            <w:tcW w:w="1276" w:type="dxa"/>
          </w:tcPr>
          <w:p w:rsidR="005941C9" w:rsidRDefault="00A77877">
            <w:pPr>
              <w:spacing w:after="160" w:line="259" w:lineRule="auto"/>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89,70</w:t>
            </w:r>
          </w:p>
        </w:tc>
      </w:tr>
      <w:tr w:rsidR="005941C9">
        <w:tc>
          <w:tcPr>
            <w:tcW w:w="5382" w:type="dxa"/>
          </w:tcPr>
          <w:p w:rsidR="005941C9" w:rsidRDefault="00A77877">
            <w:pPr>
              <w:spacing w:after="160" w:line="259"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Приходи от такса битови отпадъци/1 тон отпадък средно за България НПУО</w:t>
            </w:r>
          </w:p>
        </w:tc>
        <w:tc>
          <w:tcPr>
            <w:tcW w:w="1403" w:type="dxa"/>
          </w:tcPr>
          <w:p w:rsidR="005941C9" w:rsidRDefault="00A77877">
            <w:pPr>
              <w:spacing w:after="160" w:line="259" w:lineRule="auto"/>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76,02</w:t>
            </w:r>
          </w:p>
        </w:tc>
        <w:tc>
          <w:tcPr>
            <w:tcW w:w="1134" w:type="dxa"/>
          </w:tcPr>
          <w:p w:rsidR="005941C9" w:rsidRDefault="00A77877">
            <w:pPr>
              <w:spacing w:after="160" w:line="259" w:lineRule="auto"/>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73,63</w:t>
            </w:r>
          </w:p>
        </w:tc>
        <w:tc>
          <w:tcPr>
            <w:tcW w:w="1276" w:type="dxa"/>
          </w:tcPr>
          <w:p w:rsidR="005941C9" w:rsidRDefault="00A77877">
            <w:pPr>
              <w:spacing w:after="160" w:line="259" w:lineRule="auto"/>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79,71</w:t>
            </w:r>
          </w:p>
        </w:tc>
      </w:tr>
      <w:tr w:rsidR="005941C9">
        <w:tc>
          <w:tcPr>
            <w:tcW w:w="5382" w:type="dxa"/>
          </w:tcPr>
          <w:p w:rsidR="005941C9" w:rsidRDefault="00A77877">
            <w:pPr>
              <w:spacing w:after="160" w:line="259"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Приходи от такса битови отпадъци/1 тон отпадък  Столична община </w:t>
            </w:r>
          </w:p>
        </w:tc>
        <w:tc>
          <w:tcPr>
            <w:tcW w:w="1403" w:type="dxa"/>
            <w:shd w:val="clear" w:color="auto" w:fill="auto"/>
          </w:tcPr>
          <w:p w:rsidR="005941C9" w:rsidRDefault="00A77877">
            <w:pPr>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202,18</w:t>
            </w:r>
          </w:p>
        </w:tc>
        <w:tc>
          <w:tcPr>
            <w:tcW w:w="1134" w:type="dxa"/>
            <w:shd w:val="clear" w:color="auto" w:fill="auto"/>
          </w:tcPr>
          <w:p w:rsidR="005941C9" w:rsidRDefault="00A77877">
            <w:pPr>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182,30</w:t>
            </w:r>
          </w:p>
        </w:tc>
        <w:tc>
          <w:tcPr>
            <w:tcW w:w="1276" w:type="dxa"/>
            <w:shd w:val="clear" w:color="auto" w:fill="auto"/>
          </w:tcPr>
          <w:p w:rsidR="005941C9" w:rsidRDefault="00A77877">
            <w:pPr>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187,76</w:t>
            </w:r>
          </w:p>
        </w:tc>
      </w:tr>
      <w:tr w:rsidR="005941C9">
        <w:tc>
          <w:tcPr>
            <w:tcW w:w="9195" w:type="dxa"/>
            <w:gridSpan w:val="4"/>
          </w:tcPr>
          <w:p w:rsidR="005941C9" w:rsidRDefault="00A77877">
            <w:pPr>
              <w:spacing w:after="160" w:line="259" w:lineRule="auto"/>
              <w:jc w:val="both"/>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Такса битови отпадъци/1 тон – бизнес (лв.)</w:t>
            </w:r>
          </w:p>
        </w:tc>
      </w:tr>
      <w:tr w:rsidR="005941C9">
        <w:tc>
          <w:tcPr>
            <w:tcW w:w="5382" w:type="dxa"/>
          </w:tcPr>
          <w:p w:rsidR="005941C9" w:rsidRDefault="00A77877">
            <w:pPr>
              <w:spacing w:after="160" w:line="259"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Приходи от такса битови отпадъци/1 тон отпадък  много големи общини (над 100 хил. жители) НПУО</w:t>
            </w:r>
          </w:p>
        </w:tc>
        <w:tc>
          <w:tcPr>
            <w:tcW w:w="1403" w:type="dxa"/>
          </w:tcPr>
          <w:p w:rsidR="005941C9" w:rsidRDefault="00A77877">
            <w:pPr>
              <w:spacing w:after="160" w:line="259" w:lineRule="auto"/>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872,11</w:t>
            </w:r>
          </w:p>
        </w:tc>
        <w:tc>
          <w:tcPr>
            <w:tcW w:w="1134" w:type="dxa"/>
          </w:tcPr>
          <w:p w:rsidR="005941C9" w:rsidRDefault="00A77877">
            <w:pPr>
              <w:spacing w:after="160" w:line="259" w:lineRule="auto"/>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875,47</w:t>
            </w:r>
          </w:p>
        </w:tc>
        <w:tc>
          <w:tcPr>
            <w:tcW w:w="1276" w:type="dxa"/>
          </w:tcPr>
          <w:p w:rsidR="005941C9" w:rsidRDefault="00A77877">
            <w:pPr>
              <w:spacing w:after="160" w:line="259" w:lineRule="auto"/>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979,55</w:t>
            </w:r>
          </w:p>
        </w:tc>
      </w:tr>
      <w:tr w:rsidR="005941C9">
        <w:tc>
          <w:tcPr>
            <w:tcW w:w="5382" w:type="dxa"/>
          </w:tcPr>
          <w:p w:rsidR="005941C9" w:rsidRDefault="00A77877">
            <w:pPr>
              <w:spacing w:after="160" w:line="259"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Приходи от такса битови отпадъци/1 тон отпадък средно за България НПУО</w:t>
            </w:r>
          </w:p>
        </w:tc>
        <w:tc>
          <w:tcPr>
            <w:tcW w:w="1403" w:type="dxa"/>
          </w:tcPr>
          <w:p w:rsidR="005941C9" w:rsidRDefault="00A77877">
            <w:pPr>
              <w:spacing w:after="160" w:line="259" w:lineRule="auto"/>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1051,25</w:t>
            </w:r>
          </w:p>
        </w:tc>
        <w:tc>
          <w:tcPr>
            <w:tcW w:w="1134" w:type="dxa"/>
          </w:tcPr>
          <w:p w:rsidR="005941C9" w:rsidRDefault="00A77877">
            <w:pPr>
              <w:spacing w:after="160" w:line="259" w:lineRule="auto"/>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1006,30</w:t>
            </w:r>
          </w:p>
        </w:tc>
        <w:tc>
          <w:tcPr>
            <w:tcW w:w="1276" w:type="dxa"/>
          </w:tcPr>
          <w:p w:rsidR="005941C9" w:rsidRDefault="00A77877">
            <w:pPr>
              <w:spacing w:after="160" w:line="259" w:lineRule="auto"/>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979,55</w:t>
            </w:r>
          </w:p>
        </w:tc>
      </w:tr>
      <w:tr w:rsidR="005941C9">
        <w:tc>
          <w:tcPr>
            <w:tcW w:w="5382" w:type="dxa"/>
          </w:tcPr>
          <w:p w:rsidR="005941C9" w:rsidRDefault="00A77877">
            <w:pPr>
              <w:spacing w:after="160" w:line="259"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Приходи от такса битови отпадъци/1 тон отпадък  Столична община </w:t>
            </w:r>
          </w:p>
        </w:tc>
        <w:tc>
          <w:tcPr>
            <w:tcW w:w="1403" w:type="dxa"/>
            <w:shd w:val="clear" w:color="auto" w:fill="auto"/>
          </w:tcPr>
          <w:p w:rsidR="005941C9" w:rsidRDefault="00A77877">
            <w:pPr>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433,59</w:t>
            </w:r>
          </w:p>
        </w:tc>
        <w:tc>
          <w:tcPr>
            <w:tcW w:w="1134" w:type="dxa"/>
            <w:shd w:val="clear" w:color="auto" w:fill="auto"/>
          </w:tcPr>
          <w:p w:rsidR="005941C9" w:rsidRDefault="00A77877">
            <w:pPr>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370,58</w:t>
            </w:r>
          </w:p>
        </w:tc>
        <w:tc>
          <w:tcPr>
            <w:tcW w:w="1276" w:type="dxa"/>
            <w:shd w:val="clear" w:color="auto" w:fill="auto"/>
          </w:tcPr>
          <w:p w:rsidR="005941C9" w:rsidRDefault="00A77877">
            <w:pPr>
              <w:jc w:val="center"/>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417,77</w:t>
            </w:r>
          </w:p>
        </w:tc>
      </w:tr>
    </w:tbl>
    <w:p w:rsidR="005941C9" w:rsidRDefault="00A77877">
      <w:pPr>
        <w:jc w:val="right"/>
        <w:rPr>
          <w:rFonts w:ascii="Palatino Linotype" w:eastAsia="Palatino Linotype" w:hAnsi="Palatino Linotype" w:cs="Palatino Linotype"/>
          <w:i/>
          <w:sz w:val="18"/>
          <w:szCs w:val="18"/>
        </w:rPr>
      </w:pPr>
      <w:r>
        <w:rPr>
          <w:rFonts w:ascii="Palatino Linotype" w:eastAsia="Palatino Linotype" w:hAnsi="Palatino Linotype" w:cs="Palatino Linotype"/>
          <w:i/>
          <w:sz w:val="18"/>
          <w:szCs w:val="18"/>
        </w:rPr>
        <w:t>Източник: НПУО 2021-2028 г. , собствени изчисления</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Изчисленията показват, че като цяло делът на постъпленията от бизнеса е два пъти  по-голям от този на постъпленията от домакинствата, по отношение и на двата показателя. Тези данни потвърждават направените по-горе изводи относно причините за тази диференциация. Изчисленията показват, че бизнесът заплаща много повече на 1 тон отпадъци, отколкото населението, т.е. не се спазва принципът "замърсителят плаща". </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В следващата таблица е представена динамиката и относителният дял на приходите от такса битови отпадъци в  общите приходи от такси и в общите бюджетни приходи на общината.</w:t>
      </w:r>
    </w:p>
    <w:p w:rsidR="005941C9" w:rsidRDefault="00A77877">
      <w:pPr>
        <w:pBdr>
          <w:top w:val="nil"/>
          <w:left w:val="nil"/>
          <w:bottom w:val="nil"/>
          <w:right w:val="nil"/>
          <w:between w:val="nil"/>
        </w:pBdr>
        <w:spacing w:after="200" w:line="240" w:lineRule="auto"/>
        <w:rPr>
          <w:rFonts w:ascii="Palatino Linotype" w:eastAsia="Palatino Linotype" w:hAnsi="Palatino Linotype" w:cs="Palatino Linotype"/>
          <w:i/>
          <w:color w:val="44546A"/>
          <w:sz w:val="20"/>
          <w:szCs w:val="20"/>
        </w:rPr>
      </w:pPr>
      <w:r>
        <w:rPr>
          <w:rFonts w:ascii="Palatino Linotype" w:eastAsia="Palatino Linotype" w:hAnsi="Palatino Linotype" w:cs="Palatino Linotype"/>
          <w:i/>
          <w:color w:val="44546A"/>
          <w:sz w:val="20"/>
          <w:szCs w:val="20"/>
        </w:rPr>
        <w:t>Таблица 7 Динамика и относителен дял на приходите от такса битови отпадъци в  общите приходи от такси и в общите бюджетни приходи на общината.</w:t>
      </w:r>
    </w:p>
    <w:tbl>
      <w:tblPr>
        <w:tblStyle w:val="a6"/>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1701"/>
        <w:gridCol w:w="1418"/>
        <w:gridCol w:w="1417"/>
        <w:gridCol w:w="1418"/>
        <w:gridCol w:w="1276"/>
      </w:tblGrid>
      <w:tr w:rsidR="005941C9">
        <w:tc>
          <w:tcPr>
            <w:tcW w:w="2263" w:type="dxa"/>
            <w:shd w:val="clear" w:color="auto" w:fill="ACB9CA"/>
          </w:tcPr>
          <w:p w:rsidR="005941C9" w:rsidRDefault="005941C9">
            <w:pPr>
              <w:spacing w:after="160" w:line="259" w:lineRule="auto"/>
              <w:jc w:val="both"/>
              <w:rPr>
                <w:rFonts w:ascii="Palatino Linotype" w:eastAsia="Palatino Linotype" w:hAnsi="Palatino Linotype" w:cs="Palatino Linotype"/>
                <w:b/>
                <w:sz w:val="18"/>
                <w:szCs w:val="18"/>
              </w:rPr>
            </w:pPr>
          </w:p>
        </w:tc>
        <w:tc>
          <w:tcPr>
            <w:tcW w:w="1701" w:type="dxa"/>
            <w:shd w:val="clear" w:color="auto" w:fill="ACB9CA"/>
          </w:tcPr>
          <w:p w:rsidR="005941C9" w:rsidRDefault="00A77877">
            <w:pPr>
              <w:spacing w:after="160" w:line="259" w:lineRule="auto"/>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2016</w:t>
            </w:r>
          </w:p>
        </w:tc>
        <w:tc>
          <w:tcPr>
            <w:tcW w:w="1418" w:type="dxa"/>
            <w:shd w:val="clear" w:color="auto" w:fill="ACB9CA"/>
          </w:tcPr>
          <w:p w:rsidR="005941C9" w:rsidRDefault="00A77877">
            <w:pPr>
              <w:spacing w:after="160" w:line="259" w:lineRule="auto"/>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2017</w:t>
            </w:r>
          </w:p>
        </w:tc>
        <w:tc>
          <w:tcPr>
            <w:tcW w:w="1417" w:type="dxa"/>
            <w:shd w:val="clear" w:color="auto" w:fill="ACB9CA"/>
          </w:tcPr>
          <w:p w:rsidR="005941C9" w:rsidRDefault="00A77877">
            <w:pPr>
              <w:spacing w:after="160" w:line="259" w:lineRule="auto"/>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2018</w:t>
            </w:r>
          </w:p>
        </w:tc>
        <w:tc>
          <w:tcPr>
            <w:tcW w:w="1418" w:type="dxa"/>
            <w:shd w:val="clear" w:color="auto" w:fill="ACB9CA"/>
          </w:tcPr>
          <w:p w:rsidR="005941C9" w:rsidRDefault="00A77877">
            <w:pPr>
              <w:spacing w:after="160" w:line="259" w:lineRule="auto"/>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2019</w:t>
            </w:r>
          </w:p>
        </w:tc>
        <w:tc>
          <w:tcPr>
            <w:tcW w:w="1276" w:type="dxa"/>
            <w:shd w:val="clear" w:color="auto" w:fill="ACB9CA"/>
          </w:tcPr>
          <w:p w:rsidR="005941C9" w:rsidRDefault="00A77877">
            <w:pPr>
              <w:spacing w:after="160" w:line="259" w:lineRule="auto"/>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2020</w:t>
            </w:r>
          </w:p>
        </w:tc>
      </w:tr>
      <w:tr w:rsidR="005941C9">
        <w:trPr>
          <w:trHeight w:val="707"/>
        </w:trPr>
        <w:tc>
          <w:tcPr>
            <w:tcW w:w="2263" w:type="dxa"/>
          </w:tcPr>
          <w:p w:rsidR="005941C9" w:rsidRDefault="00A77877">
            <w:pPr>
              <w:spacing w:after="160" w:line="259" w:lineRule="auto"/>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Общо приходи от ТБО (лв.)</w:t>
            </w:r>
          </w:p>
        </w:tc>
        <w:tc>
          <w:tcPr>
            <w:tcW w:w="1701" w:type="dxa"/>
            <w:shd w:val="clear" w:color="auto" w:fill="auto"/>
            <w:vAlign w:val="center"/>
          </w:tcPr>
          <w:p w:rsidR="005941C9" w:rsidRDefault="005941C9">
            <w:pPr>
              <w:spacing w:after="120"/>
              <w:jc w:val="center"/>
              <w:rPr>
                <w:rFonts w:ascii="Palatino Linotype" w:eastAsia="Palatino Linotype" w:hAnsi="Palatino Linotype" w:cs="Palatino Linotype"/>
                <w:sz w:val="18"/>
                <w:szCs w:val="18"/>
              </w:rPr>
            </w:pPr>
          </w:p>
          <w:p w:rsidR="005941C9" w:rsidRDefault="00A77877">
            <w:pPr>
              <w:spacing w:after="120"/>
              <w:jc w:val="center"/>
              <w:rPr>
                <w:rFonts w:ascii="Palatino Linotype" w:eastAsia="Palatino Linotype" w:hAnsi="Palatino Linotype" w:cs="Palatino Linotype"/>
                <w:b/>
                <w:sz w:val="18"/>
                <w:szCs w:val="18"/>
              </w:rPr>
            </w:pPr>
            <w:r>
              <w:rPr>
                <w:rFonts w:ascii="Palatino Linotype" w:eastAsia="Palatino Linotype" w:hAnsi="Palatino Linotype" w:cs="Palatino Linotype"/>
                <w:sz w:val="18"/>
                <w:szCs w:val="18"/>
              </w:rPr>
              <w:t>206 005 175</w:t>
            </w:r>
          </w:p>
        </w:tc>
        <w:tc>
          <w:tcPr>
            <w:tcW w:w="1418" w:type="dxa"/>
            <w:shd w:val="clear" w:color="auto" w:fill="auto"/>
            <w:vAlign w:val="center"/>
          </w:tcPr>
          <w:p w:rsidR="005941C9" w:rsidRDefault="005941C9">
            <w:pPr>
              <w:spacing w:after="120"/>
              <w:jc w:val="center"/>
              <w:rPr>
                <w:rFonts w:ascii="Palatino Linotype" w:eastAsia="Palatino Linotype" w:hAnsi="Palatino Linotype" w:cs="Palatino Linotype"/>
                <w:sz w:val="18"/>
                <w:szCs w:val="18"/>
              </w:rPr>
            </w:pPr>
          </w:p>
          <w:p w:rsidR="005941C9" w:rsidRDefault="00A77877">
            <w:pPr>
              <w:spacing w:after="120"/>
              <w:jc w:val="center"/>
              <w:rPr>
                <w:rFonts w:ascii="Palatino Linotype" w:eastAsia="Palatino Linotype" w:hAnsi="Palatino Linotype" w:cs="Palatino Linotype"/>
                <w:b/>
                <w:sz w:val="18"/>
                <w:szCs w:val="18"/>
              </w:rPr>
            </w:pPr>
            <w:r>
              <w:rPr>
                <w:rFonts w:ascii="Palatino Linotype" w:eastAsia="Palatino Linotype" w:hAnsi="Palatino Linotype" w:cs="Palatino Linotype"/>
                <w:sz w:val="18"/>
                <w:szCs w:val="18"/>
              </w:rPr>
              <w:t>196 893 396</w:t>
            </w:r>
          </w:p>
        </w:tc>
        <w:tc>
          <w:tcPr>
            <w:tcW w:w="1417" w:type="dxa"/>
            <w:shd w:val="clear" w:color="auto" w:fill="auto"/>
            <w:vAlign w:val="center"/>
          </w:tcPr>
          <w:p w:rsidR="005941C9" w:rsidRDefault="005941C9">
            <w:pPr>
              <w:spacing w:after="120"/>
              <w:jc w:val="center"/>
              <w:rPr>
                <w:rFonts w:ascii="Palatino Linotype" w:eastAsia="Palatino Linotype" w:hAnsi="Palatino Linotype" w:cs="Palatino Linotype"/>
                <w:sz w:val="18"/>
                <w:szCs w:val="18"/>
              </w:rPr>
            </w:pPr>
          </w:p>
          <w:p w:rsidR="005941C9" w:rsidRDefault="00A77877">
            <w:pPr>
              <w:spacing w:after="120"/>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sz w:val="18"/>
                <w:szCs w:val="18"/>
              </w:rPr>
              <w:t>221 803 528</w:t>
            </w:r>
          </w:p>
        </w:tc>
        <w:tc>
          <w:tcPr>
            <w:tcW w:w="1418" w:type="dxa"/>
            <w:shd w:val="clear" w:color="auto" w:fill="auto"/>
            <w:vAlign w:val="center"/>
          </w:tcPr>
          <w:p w:rsidR="005941C9" w:rsidRDefault="005941C9">
            <w:pPr>
              <w:spacing w:after="120"/>
              <w:jc w:val="center"/>
              <w:rPr>
                <w:rFonts w:ascii="Palatino Linotype" w:eastAsia="Palatino Linotype" w:hAnsi="Palatino Linotype" w:cs="Palatino Linotype"/>
                <w:sz w:val="18"/>
                <w:szCs w:val="18"/>
              </w:rPr>
            </w:pPr>
          </w:p>
          <w:p w:rsidR="005941C9" w:rsidRDefault="00A77877">
            <w:pPr>
              <w:spacing w:after="120"/>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sz w:val="18"/>
                <w:szCs w:val="18"/>
              </w:rPr>
              <w:t>239 991 617</w:t>
            </w:r>
          </w:p>
        </w:tc>
        <w:tc>
          <w:tcPr>
            <w:tcW w:w="1276" w:type="dxa"/>
            <w:vAlign w:val="center"/>
          </w:tcPr>
          <w:p w:rsidR="005941C9" w:rsidRDefault="005941C9">
            <w:pPr>
              <w:spacing w:after="120"/>
              <w:jc w:val="center"/>
              <w:rPr>
                <w:rFonts w:ascii="Palatino Linotype" w:eastAsia="Palatino Linotype" w:hAnsi="Palatino Linotype" w:cs="Palatino Linotype"/>
                <w:sz w:val="18"/>
                <w:szCs w:val="18"/>
              </w:rPr>
            </w:pPr>
          </w:p>
          <w:p w:rsidR="005941C9" w:rsidRDefault="00A77877">
            <w:pPr>
              <w:spacing w:after="120"/>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sz w:val="18"/>
                <w:szCs w:val="18"/>
              </w:rPr>
              <w:t>227 243 793</w:t>
            </w:r>
          </w:p>
        </w:tc>
      </w:tr>
      <w:tr w:rsidR="005941C9">
        <w:trPr>
          <w:trHeight w:val="613"/>
        </w:trPr>
        <w:tc>
          <w:tcPr>
            <w:tcW w:w="2263" w:type="dxa"/>
          </w:tcPr>
          <w:p w:rsidR="005941C9" w:rsidRDefault="00A77877">
            <w:pPr>
              <w:spacing w:after="160" w:line="259" w:lineRule="auto"/>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 xml:space="preserve">Общо приходи от такси (лв.) </w:t>
            </w:r>
          </w:p>
        </w:tc>
        <w:tc>
          <w:tcPr>
            <w:tcW w:w="1701" w:type="dxa"/>
            <w:vAlign w:val="center"/>
          </w:tcPr>
          <w:p w:rsidR="005941C9" w:rsidRDefault="00A77877">
            <w:pPr>
              <w:spacing w:after="120"/>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246 868 628</w:t>
            </w:r>
          </w:p>
        </w:tc>
        <w:tc>
          <w:tcPr>
            <w:tcW w:w="1418" w:type="dxa"/>
            <w:vAlign w:val="center"/>
          </w:tcPr>
          <w:p w:rsidR="005941C9" w:rsidRDefault="00A77877">
            <w:pPr>
              <w:spacing w:after="160" w:line="259"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246 941 737</w:t>
            </w:r>
          </w:p>
        </w:tc>
        <w:tc>
          <w:tcPr>
            <w:tcW w:w="1417" w:type="dxa"/>
            <w:vAlign w:val="center"/>
          </w:tcPr>
          <w:p w:rsidR="005941C9" w:rsidRDefault="00A77877">
            <w:pPr>
              <w:spacing w:after="160" w:line="259"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274 662 462</w:t>
            </w:r>
          </w:p>
        </w:tc>
        <w:tc>
          <w:tcPr>
            <w:tcW w:w="1418" w:type="dxa"/>
            <w:vAlign w:val="center"/>
          </w:tcPr>
          <w:p w:rsidR="005941C9" w:rsidRDefault="00A77877">
            <w:pPr>
              <w:spacing w:after="160" w:line="259"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282 913 604</w:t>
            </w:r>
          </w:p>
        </w:tc>
        <w:tc>
          <w:tcPr>
            <w:tcW w:w="1276" w:type="dxa"/>
            <w:vAlign w:val="center"/>
          </w:tcPr>
          <w:p w:rsidR="005941C9" w:rsidRDefault="00A77877">
            <w:pPr>
              <w:spacing w:after="160" w:line="259"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265 647 537</w:t>
            </w:r>
          </w:p>
        </w:tc>
      </w:tr>
      <w:tr w:rsidR="005941C9">
        <w:trPr>
          <w:trHeight w:val="1121"/>
        </w:trPr>
        <w:tc>
          <w:tcPr>
            <w:tcW w:w="2263" w:type="dxa"/>
          </w:tcPr>
          <w:p w:rsidR="005941C9" w:rsidRDefault="00A77877">
            <w:pPr>
              <w:spacing w:after="160" w:line="259" w:lineRule="auto"/>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Дял на приходите от ТБО в общо приходите от такси в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41C9" w:rsidRDefault="00A77877">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83,45%</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5941C9" w:rsidRDefault="00A77877">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79,73%</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5941C9" w:rsidRDefault="00A77877">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80,75%</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5941C9" w:rsidRDefault="00A77877">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84,83%</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5941C9" w:rsidRDefault="00A77877">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85,54%</w:t>
            </w:r>
          </w:p>
        </w:tc>
      </w:tr>
      <w:tr w:rsidR="005941C9">
        <w:tc>
          <w:tcPr>
            <w:tcW w:w="2263" w:type="dxa"/>
          </w:tcPr>
          <w:p w:rsidR="005941C9" w:rsidRDefault="00A77877">
            <w:pPr>
              <w:spacing w:after="160" w:line="259" w:lineRule="auto"/>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Общо бюджетни приходи (лв.)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41C9" w:rsidRDefault="00A77877">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1 058 427 342</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5941C9" w:rsidRDefault="00A77877">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1 054 281 352</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5941C9" w:rsidRDefault="00A77877">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1 212 709 055</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5941C9" w:rsidRDefault="00A77877">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1 357 645 661</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5941C9" w:rsidRDefault="00A77877">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1 382 704 742</w:t>
            </w:r>
          </w:p>
        </w:tc>
      </w:tr>
      <w:tr w:rsidR="005941C9">
        <w:trPr>
          <w:trHeight w:val="773"/>
        </w:trPr>
        <w:tc>
          <w:tcPr>
            <w:tcW w:w="2263" w:type="dxa"/>
          </w:tcPr>
          <w:p w:rsidR="005941C9" w:rsidRDefault="00A77877">
            <w:pPr>
              <w:spacing w:after="160" w:line="259" w:lineRule="auto"/>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Дял на приходите от ТБО в бюджетните приходи на общината в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41C9" w:rsidRDefault="00A77877">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19,46%</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5941C9" w:rsidRDefault="00A77877">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18,68%</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5941C9" w:rsidRDefault="00A77877">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18,29%</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5941C9" w:rsidRDefault="00A77877">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17,68%</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5941C9" w:rsidRDefault="00A77877">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16,43%</w:t>
            </w:r>
          </w:p>
        </w:tc>
      </w:tr>
    </w:tbl>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Видно от данните в горната таблица ТБО формира основната част от приходите от такси на Столична община от 79% до 85% през годините. Делът на ТБО в общите бюджетни приходи на общината е относително висок на нива от 16% – 19 %., като  тенденцията е низходяща през годините. Данните за Столична община  са по-високи от  приходите от такса битови отпадъци в НПУО, където той е в границите между 8% и 9,5%.</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В следващата таблица представяме покритието на разходите по дейност 623 „Чистота“ и дейност 627  „Управление на отпадъците“ с приходи от такса битови отпадъци.</w:t>
      </w:r>
    </w:p>
    <w:p w:rsidR="005941C9" w:rsidRDefault="00A77877">
      <w:pPr>
        <w:pBdr>
          <w:top w:val="nil"/>
          <w:left w:val="nil"/>
          <w:bottom w:val="nil"/>
          <w:right w:val="nil"/>
          <w:between w:val="nil"/>
        </w:pBdr>
        <w:spacing w:after="200" w:line="240" w:lineRule="auto"/>
        <w:jc w:val="both"/>
        <w:rPr>
          <w:rFonts w:ascii="Palatino Linotype" w:eastAsia="Palatino Linotype" w:hAnsi="Palatino Linotype" w:cs="Palatino Linotype"/>
          <w:i/>
          <w:color w:val="44546A"/>
          <w:sz w:val="20"/>
          <w:szCs w:val="20"/>
        </w:rPr>
      </w:pPr>
      <w:r>
        <w:rPr>
          <w:rFonts w:ascii="Palatino Linotype" w:eastAsia="Palatino Linotype" w:hAnsi="Palatino Linotype" w:cs="Palatino Linotype"/>
          <w:i/>
          <w:color w:val="44546A"/>
          <w:sz w:val="20"/>
          <w:szCs w:val="20"/>
        </w:rPr>
        <w:t>Таблица 8 покритие на разходите по дейност 623 „Чистота“  и дейност 627 „Управление на отпадъците“ с приходи от такса битови отпадъци за периода 2017-2020 г.</w:t>
      </w:r>
    </w:p>
    <w:tbl>
      <w:tblPr>
        <w:tblStyle w:val="a7"/>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2"/>
        <w:gridCol w:w="1418"/>
        <w:gridCol w:w="1417"/>
        <w:gridCol w:w="1418"/>
        <w:gridCol w:w="1418"/>
      </w:tblGrid>
      <w:tr w:rsidR="005941C9">
        <w:tc>
          <w:tcPr>
            <w:tcW w:w="3823" w:type="dxa"/>
            <w:shd w:val="clear" w:color="auto" w:fill="ACB9CA"/>
          </w:tcPr>
          <w:p w:rsidR="005941C9" w:rsidRDefault="00A77877">
            <w:pPr>
              <w:tabs>
                <w:tab w:val="left" w:pos="1080"/>
              </w:tabs>
              <w:spacing w:after="160" w:line="259" w:lineRule="auto"/>
              <w:jc w:val="both"/>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ab/>
              <w:t>Година</w:t>
            </w:r>
          </w:p>
        </w:tc>
        <w:tc>
          <w:tcPr>
            <w:tcW w:w="1418" w:type="dxa"/>
            <w:shd w:val="clear" w:color="auto" w:fill="ACB9CA"/>
          </w:tcPr>
          <w:p w:rsidR="005941C9" w:rsidRDefault="00A77877">
            <w:pPr>
              <w:spacing w:after="160" w:line="259" w:lineRule="auto"/>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2017</w:t>
            </w:r>
          </w:p>
        </w:tc>
        <w:tc>
          <w:tcPr>
            <w:tcW w:w="1417" w:type="dxa"/>
            <w:shd w:val="clear" w:color="auto" w:fill="ACB9CA"/>
          </w:tcPr>
          <w:p w:rsidR="005941C9" w:rsidRDefault="00A77877">
            <w:pPr>
              <w:spacing w:after="160" w:line="259" w:lineRule="auto"/>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2018</w:t>
            </w:r>
          </w:p>
        </w:tc>
        <w:tc>
          <w:tcPr>
            <w:tcW w:w="1418" w:type="dxa"/>
            <w:shd w:val="clear" w:color="auto" w:fill="ACB9CA"/>
          </w:tcPr>
          <w:p w:rsidR="005941C9" w:rsidRDefault="00A77877">
            <w:pPr>
              <w:spacing w:after="160" w:line="259" w:lineRule="auto"/>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2019</w:t>
            </w:r>
          </w:p>
        </w:tc>
        <w:tc>
          <w:tcPr>
            <w:tcW w:w="1418" w:type="dxa"/>
            <w:shd w:val="clear" w:color="auto" w:fill="ACB9CA"/>
          </w:tcPr>
          <w:p w:rsidR="005941C9" w:rsidRDefault="00A77877">
            <w:pPr>
              <w:spacing w:after="160" w:line="259" w:lineRule="auto"/>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2020</w:t>
            </w:r>
          </w:p>
        </w:tc>
      </w:tr>
      <w:tr w:rsidR="005941C9">
        <w:trPr>
          <w:trHeight w:val="402"/>
        </w:trPr>
        <w:tc>
          <w:tcPr>
            <w:tcW w:w="3823" w:type="dxa"/>
          </w:tcPr>
          <w:p w:rsidR="005941C9" w:rsidRDefault="00A77877">
            <w:pPr>
              <w:spacing w:after="160" w:line="259"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Общо приходи от ТБО (лв.)</w:t>
            </w:r>
          </w:p>
        </w:tc>
        <w:tc>
          <w:tcPr>
            <w:tcW w:w="1418" w:type="dxa"/>
            <w:shd w:val="clear" w:color="auto" w:fill="auto"/>
          </w:tcPr>
          <w:p w:rsidR="005941C9" w:rsidRDefault="00A77877">
            <w:pPr>
              <w:spacing w:after="120"/>
              <w:jc w:val="right"/>
              <w:rPr>
                <w:rFonts w:ascii="Palatino Linotype" w:eastAsia="Palatino Linotype" w:hAnsi="Palatino Linotype" w:cs="Palatino Linotype"/>
                <w:b/>
                <w:sz w:val="20"/>
                <w:szCs w:val="20"/>
              </w:rPr>
            </w:pPr>
            <w:r>
              <w:rPr>
                <w:rFonts w:ascii="Palatino Linotype" w:eastAsia="Palatino Linotype" w:hAnsi="Palatino Linotype" w:cs="Palatino Linotype"/>
                <w:sz w:val="20"/>
                <w:szCs w:val="20"/>
              </w:rPr>
              <w:t>196 893 396</w:t>
            </w:r>
          </w:p>
        </w:tc>
        <w:tc>
          <w:tcPr>
            <w:tcW w:w="1417" w:type="dxa"/>
            <w:shd w:val="clear" w:color="auto" w:fill="auto"/>
          </w:tcPr>
          <w:p w:rsidR="005941C9" w:rsidRDefault="00A77877">
            <w:pPr>
              <w:spacing w:after="120"/>
              <w:jc w:val="right"/>
              <w:rPr>
                <w:rFonts w:ascii="Palatino Linotype" w:eastAsia="Palatino Linotype" w:hAnsi="Palatino Linotype" w:cs="Palatino Linotype"/>
                <w:b/>
                <w:color w:val="000000"/>
                <w:sz w:val="20"/>
                <w:szCs w:val="20"/>
              </w:rPr>
            </w:pPr>
            <w:r>
              <w:rPr>
                <w:rFonts w:ascii="Palatino Linotype" w:eastAsia="Palatino Linotype" w:hAnsi="Palatino Linotype" w:cs="Palatino Linotype"/>
                <w:sz w:val="20"/>
                <w:szCs w:val="20"/>
              </w:rPr>
              <w:t>221 803 528</w:t>
            </w:r>
          </w:p>
        </w:tc>
        <w:tc>
          <w:tcPr>
            <w:tcW w:w="1418" w:type="dxa"/>
            <w:shd w:val="clear" w:color="auto" w:fill="auto"/>
          </w:tcPr>
          <w:p w:rsidR="005941C9" w:rsidRDefault="00A77877">
            <w:pPr>
              <w:spacing w:after="120"/>
              <w:jc w:val="right"/>
              <w:rPr>
                <w:rFonts w:ascii="Palatino Linotype" w:eastAsia="Palatino Linotype" w:hAnsi="Palatino Linotype" w:cs="Palatino Linotype"/>
                <w:b/>
                <w:color w:val="000000"/>
                <w:sz w:val="20"/>
                <w:szCs w:val="20"/>
              </w:rPr>
            </w:pPr>
            <w:r>
              <w:rPr>
                <w:rFonts w:ascii="Palatino Linotype" w:eastAsia="Palatino Linotype" w:hAnsi="Palatino Linotype" w:cs="Palatino Linotype"/>
                <w:sz w:val="20"/>
                <w:szCs w:val="20"/>
              </w:rPr>
              <w:t>239 991 617</w:t>
            </w:r>
          </w:p>
        </w:tc>
        <w:tc>
          <w:tcPr>
            <w:tcW w:w="1418" w:type="dxa"/>
          </w:tcPr>
          <w:p w:rsidR="005941C9" w:rsidRDefault="00A77877">
            <w:pPr>
              <w:spacing w:after="120"/>
              <w:jc w:val="right"/>
              <w:rPr>
                <w:rFonts w:ascii="Palatino Linotype" w:eastAsia="Palatino Linotype" w:hAnsi="Palatino Linotype" w:cs="Palatino Linotype"/>
                <w:b/>
                <w:color w:val="000000"/>
                <w:sz w:val="20"/>
                <w:szCs w:val="20"/>
              </w:rPr>
            </w:pPr>
            <w:r>
              <w:rPr>
                <w:rFonts w:ascii="Palatino Linotype" w:eastAsia="Palatino Linotype" w:hAnsi="Palatino Linotype" w:cs="Palatino Linotype"/>
                <w:sz w:val="20"/>
                <w:szCs w:val="20"/>
              </w:rPr>
              <w:t>227 243 793</w:t>
            </w:r>
          </w:p>
        </w:tc>
      </w:tr>
      <w:tr w:rsidR="005941C9">
        <w:tc>
          <w:tcPr>
            <w:tcW w:w="3823" w:type="dxa"/>
          </w:tcPr>
          <w:p w:rsidR="005941C9" w:rsidRDefault="00A77877">
            <w:pPr>
              <w:spacing w:after="160" w:line="259"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Разходи по дейност 623 „Чистота“ </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941C9" w:rsidRDefault="00A77877">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124 750 000</w:t>
            </w:r>
          </w:p>
        </w:tc>
        <w:tc>
          <w:tcPr>
            <w:tcW w:w="1417" w:type="dxa"/>
            <w:tcBorders>
              <w:top w:val="single" w:sz="4" w:space="0" w:color="000000"/>
              <w:left w:val="nil"/>
              <w:bottom w:val="single" w:sz="4" w:space="0" w:color="000000"/>
              <w:right w:val="single" w:sz="4" w:space="0" w:color="000000"/>
            </w:tcBorders>
            <w:shd w:val="clear" w:color="auto" w:fill="auto"/>
            <w:vAlign w:val="bottom"/>
          </w:tcPr>
          <w:p w:rsidR="005941C9" w:rsidRDefault="00A77877">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134 911 816</w:t>
            </w:r>
          </w:p>
        </w:tc>
        <w:tc>
          <w:tcPr>
            <w:tcW w:w="1418" w:type="dxa"/>
            <w:tcBorders>
              <w:top w:val="single" w:sz="4" w:space="0" w:color="000000"/>
              <w:left w:val="nil"/>
              <w:bottom w:val="single" w:sz="4" w:space="0" w:color="000000"/>
              <w:right w:val="single" w:sz="4" w:space="0" w:color="000000"/>
            </w:tcBorders>
            <w:shd w:val="clear" w:color="auto" w:fill="auto"/>
            <w:vAlign w:val="bottom"/>
          </w:tcPr>
          <w:p w:rsidR="005941C9" w:rsidRDefault="00A77877">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130 068 179</w:t>
            </w:r>
          </w:p>
        </w:tc>
        <w:tc>
          <w:tcPr>
            <w:tcW w:w="1418" w:type="dxa"/>
            <w:tcBorders>
              <w:top w:val="single" w:sz="4" w:space="0" w:color="000000"/>
              <w:left w:val="nil"/>
              <w:bottom w:val="single" w:sz="4" w:space="0" w:color="000000"/>
              <w:right w:val="single" w:sz="4" w:space="0" w:color="000000"/>
            </w:tcBorders>
            <w:shd w:val="clear" w:color="auto" w:fill="auto"/>
            <w:vAlign w:val="bottom"/>
          </w:tcPr>
          <w:p w:rsidR="005941C9" w:rsidRDefault="00A77877">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136 829 537</w:t>
            </w:r>
          </w:p>
        </w:tc>
      </w:tr>
      <w:tr w:rsidR="005941C9">
        <w:tc>
          <w:tcPr>
            <w:tcW w:w="3823" w:type="dxa"/>
          </w:tcPr>
          <w:p w:rsidR="005941C9" w:rsidRDefault="00A77877">
            <w:pPr>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Разходи по дейност 627 „Управление на отпадъците“</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941C9" w:rsidRDefault="00A77877">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28 610 000</w:t>
            </w:r>
          </w:p>
        </w:tc>
        <w:tc>
          <w:tcPr>
            <w:tcW w:w="1417" w:type="dxa"/>
            <w:tcBorders>
              <w:top w:val="single" w:sz="4" w:space="0" w:color="000000"/>
              <w:left w:val="nil"/>
              <w:bottom w:val="single" w:sz="4" w:space="0" w:color="000000"/>
              <w:right w:val="single" w:sz="4" w:space="0" w:color="000000"/>
            </w:tcBorders>
            <w:shd w:val="clear" w:color="auto" w:fill="auto"/>
            <w:vAlign w:val="bottom"/>
          </w:tcPr>
          <w:p w:rsidR="005941C9" w:rsidRDefault="00A77877">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39 829 259</w:t>
            </w:r>
          </w:p>
        </w:tc>
        <w:tc>
          <w:tcPr>
            <w:tcW w:w="1418" w:type="dxa"/>
            <w:tcBorders>
              <w:top w:val="single" w:sz="4" w:space="0" w:color="000000"/>
              <w:left w:val="nil"/>
              <w:bottom w:val="single" w:sz="4" w:space="0" w:color="000000"/>
              <w:right w:val="single" w:sz="4" w:space="0" w:color="000000"/>
            </w:tcBorders>
            <w:shd w:val="clear" w:color="auto" w:fill="auto"/>
            <w:vAlign w:val="bottom"/>
          </w:tcPr>
          <w:p w:rsidR="005941C9" w:rsidRDefault="00A77877">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38 853 015</w:t>
            </w:r>
          </w:p>
        </w:tc>
        <w:tc>
          <w:tcPr>
            <w:tcW w:w="1418" w:type="dxa"/>
            <w:tcBorders>
              <w:top w:val="single" w:sz="4" w:space="0" w:color="000000"/>
              <w:left w:val="nil"/>
              <w:bottom w:val="single" w:sz="4" w:space="0" w:color="000000"/>
              <w:right w:val="single" w:sz="4" w:space="0" w:color="000000"/>
            </w:tcBorders>
            <w:shd w:val="clear" w:color="auto" w:fill="auto"/>
            <w:vAlign w:val="bottom"/>
          </w:tcPr>
          <w:p w:rsidR="005941C9" w:rsidRDefault="00A77877">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36 979 359</w:t>
            </w:r>
          </w:p>
        </w:tc>
      </w:tr>
      <w:tr w:rsidR="005941C9">
        <w:trPr>
          <w:trHeight w:val="725"/>
        </w:trPr>
        <w:tc>
          <w:tcPr>
            <w:tcW w:w="3823" w:type="dxa"/>
          </w:tcPr>
          <w:p w:rsidR="005941C9" w:rsidRDefault="00A77877">
            <w:pPr>
              <w:spacing w:after="160" w:line="259"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Покритие на разходите по дейности 623 и 627  с приходи от такса битови отпадъци</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941C9" w:rsidRDefault="00A77877">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128,39%</w:t>
            </w:r>
          </w:p>
        </w:tc>
        <w:tc>
          <w:tcPr>
            <w:tcW w:w="1417" w:type="dxa"/>
            <w:tcBorders>
              <w:top w:val="single" w:sz="4" w:space="0" w:color="000000"/>
              <w:left w:val="nil"/>
              <w:bottom w:val="single" w:sz="4" w:space="0" w:color="000000"/>
              <w:right w:val="single" w:sz="4" w:space="0" w:color="000000"/>
            </w:tcBorders>
            <w:shd w:val="clear" w:color="auto" w:fill="auto"/>
            <w:vAlign w:val="bottom"/>
          </w:tcPr>
          <w:p w:rsidR="005941C9" w:rsidRDefault="00A77877">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126,93%</w:t>
            </w:r>
          </w:p>
        </w:tc>
        <w:tc>
          <w:tcPr>
            <w:tcW w:w="1418" w:type="dxa"/>
            <w:tcBorders>
              <w:top w:val="single" w:sz="4" w:space="0" w:color="000000"/>
              <w:left w:val="nil"/>
              <w:bottom w:val="single" w:sz="4" w:space="0" w:color="000000"/>
              <w:right w:val="single" w:sz="4" w:space="0" w:color="000000"/>
            </w:tcBorders>
            <w:shd w:val="clear" w:color="auto" w:fill="auto"/>
            <w:vAlign w:val="bottom"/>
          </w:tcPr>
          <w:p w:rsidR="005941C9" w:rsidRDefault="00A77877">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142,07%</w:t>
            </w:r>
          </w:p>
        </w:tc>
        <w:tc>
          <w:tcPr>
            <w:tcW w:w="1418" w:type="dxa"/>
            <w:tcBorders>
              <w:top w:val="single" w:sz="4" w:space="0" w:color="000000"/>
              <w:left w:val="nil"/>
              <w:bottom w:val="single" w:sz="4" w:space="0" w:color="000000"/>
              <w:right w:val="single" w:sz="4" w:space="0" w:color="000000"/>
            </w:tcBorders>
            <w:shd w:val="clear" w:color="auto" w:fill="auto"/>
            <w:vAlign w:val="bottom"/>
          </w:tcPr>
          <w:p w:rsidR="005941C9" w:rsidRDefault="00A77877">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130,74%</w:t>
            </w:r>
          </w:p>
        </w:tc>
      </w:tr>
    </w:tbl>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Данните от таблицата показват, че постъпленията от такса битови отпадъци надвишават разходите по дейност 623 „Чистота“  и дейност 627 „Управление на отпадъците“ през целия анализиран период. Това се обяснява с практиката на общините през текущата година да отчитат и т.нар. "недобори" - приходи от такси, които са били дължими в предходни години, но са платени в текущата година. </w:t>
      </w:r>
    </w:p>
    <w:p w:rsidR="005941C9" w:rsidRDefault="00A77877">
      <w:pPr>
        <w:numPr>
          <w:ilvl w:val="0"/>
          <w:numId w:val="4"/>
        </w:numPr>
        <w:pBdr>
          <w:top w:val="nil"/>
          <w:left w:val="nil"/>
          <w:bottom w:val="nil"/>
          <w:right w:val="nil"/>
          <w:between w:val="nil"/>
        </w:pBd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Обезпечения за покриване на последващите разходи за закриване на депа и отчисления за депониране ( чл. 60 и чл. 64 от ЗУО)</w:t>
      </w:r>
    </w:p>
    <w:p w:rsidR="005941C9" w:rsidRDefault="00A77877">
      <w:pPr>
        <w:spacing w:before="88" w:after="0" w:line="276" w:lineRule="auto"/>
        <w:jc w:val="both"/>
        <w:rPr>
          <w:rFonts w:ascii="Palatino Linotype" w:eastAsia="Palatino Linotype" w:hAnsi="Palatino Linotype" w:cs="Palatino Linotype"/>
          <w:i/>
        </w:rPr>
      </w:pPr>
      <w:r>
        <w:rPr>
          <w:rFonts w:ascii="Palatino Linotype" w:eastAsia="Palatino Linotype" w:hAnsi="Palatino Linotype" w:cs="Palatino Linotype"/>
          <w:i/>
          <w:u w:val="single"/>
        </w:rPr>
        <w:t>Обезпечения по чл.60 от ЗУО</w:t>
      </w:r>
    </w:p>
    <w:p w:rsidR="005941C9" w:rsidRDefault="00A77877">
      <w:pPr>
        <w:widowControl w:val="0"/>
        <w:spacing w:after="240" w:line="276" w:lineRule="auto"/>
        <w:jc w:val="both"/>
        <w:rPr>
          <w:rFonts w:ascii="Palatino Linotype" w:eastAsia="Palatino Linotype" w:hAnsi="Palatino Linotype" w:cs="Palatino Linotype"/>
        </w:rPr>
      </w:pPr>
      <w:r>
        <w:rPr>
          <w:rFonts w:ascii="Palatino Linotype" w:eastAsia="Palatino Linotype" w:hAnsi="Palatino Linotype" w:cs="Palatino Linotype"/>
        </w:rPr>
        <w:t>Те се правят за всеки тон депониран отпадък. Целта на обезпеченията е в периода на експлоатация на съответното депо да се акумулира финансов ресурс, който собственикът на депото да използва за неговото закриване и рекултивация, след изчерпване на капацитета му. Задължението за обезпеченията по чл. 60 се отнася и за общините, в случаите, в които те се явяват собственици на депо за отпадъци, независимо дали става въпрос за битови, строителни или опасни отпадъци, като обезпеченията не могат да бъдат под формата на банкова гаранция. В случаите, в които дадено депо за отпадъци се използва от няколко общини на регионален принцип, обезпеченията се внасят пропорционално на количествата депонирани отпадъци. Важно е да се подчертае, че натрупаните средства остават притежание на собственика на депото.</w:t>
      </w:r>
    </w:p>
    <w:p w:rsidR="005941C9" w:rsidRDefault="00A77877">
      <w:pPr>
        <w:widowControl w:val="0"/>
        <w:spacing w:after="240" w:line="276" w:lineRule="auto"/>
        <w:jc w:val="both"/>
        <w:rPr>
          <w:rFonts w:ascii="Palatino Linotype" w:eastAsia="Palatino Linotype" w:hAnsi="Palatino Linotype" w:cs="Palatino Linotype"/>
        </w:rPr>
      </w:pPr>
      <w:r>
        <w:rPr>
          <w:rFonts w:ascii="Palatino Linotype" w:eastAsia="Palatino Linotype" w:hAnsi="Palatino Linotype" w:cs="Palatino Linotype"/>
        </w:rPr>
        <w:t>Когато собственик на депото е община, обезпечението е под формата на месечни отчисления в банкова сметка за чужди средства на РИОСВ, на чиято територия се намира депото, или месечни отчисления в банкова сметка със специално предназначение, блокирана за периода до приключване и приемане на мерките по закриване и следексплоатационни грижи на площадката на депото, с изключение на случаите, когато е разрешено тяхното ползване.</w:t>
      </w:r>
    </w:p>
    <w:p w:rsidR="005941C9" w:rsidRDefault="00A77877">
      <w:pPr>
        <w:widowControl w:val="0"/>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Собственикът на депото превежда до последно число на текущия месец определените месечни вноски по обезпечението за предходния месец. При забавяне на преводите по банковата сметка се дължи законната лихва за всеки просрочен ден, но не повече от 20 на сто от дължимата/остатъчната сума. В същия срок собственикът на депото представя на компетентния орган информация за депонираните количества отпадъци за предходния месец. Дължимите суми за невнесени обезпечения се определят с акт за установяване на публично държавно вземане, издаден по реда на чл. 166 от Данъчно-осигурителния процесуален кодекс от директора на РИОСВ, на чиято територия се намира депото.</w:t>
      </w:r>
    </w:p>
    <w:p w:rsidR="005941C9" w:rsidRDefault="005941C9">
      <w:pPr>
        <w:widowControl w:val="0"/>
        <w:spacing w:after="0" w:line="276" w:lineRule="auto"/>
        <w:jc w:val="both"/>
        <w:rPr>
          <w:rFonts w:ascii="Palatino Linotype" w:eastAsia="Palatino Linotype" w:hAnsi="Palatino Linotype" w:cs="Palatino Linotype"/>
        </w:rPr>
      </w:pPr>
    </w:p>
    <w:p w:rsidR="005941C9" w:rsidRDefault="00A77877">
      <w:pPr>
        <w:widowControl w:val="0"/>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В случай, че събраните средства в сметката са недостатъчни за приключване на дейностите по закриване и следексплоатационни грижи на площадката на депото, собственикът на депото осигурява остатъка от средствата.</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Когато след приключване на дейностите по закриване и следексплоатационни грижи на площадката на депото останат средства на общината в сметката в РИОСВ, същите подлежат на възстановяване на общината за извършване на дейности по управление на отпадъците.</w:t>
      </w:r>
    </w:p>
    <w:p w:rsidR="005941C9" w:rsidRDefault="00A77877">
      <w:pPr>
        <w:spacing w:line="276" w:lineRule="auto"/>
        <w:jc w:val="both"/>
        <w:rPr>
          <w:rFonts w:ascii="Palatino Linotype" w:eastAsia="Palatino Linotype" w:hAnsi="Palatino Linotype" w:cs="Palatino Linotype"/>
          <w:i/>
          <w:u w:val="single"/>
        </w:rPr>
      </w:pPr>
      <w:r>
        <w:rPr>
          <w:rFonts w:ascii="Palatino Linotype" w:eastAsia="Palatino Linotype" w:hAnsi="Palatino Linotype" w:cs="Palatino Linotype"/>
          <w:i/>
          <w:u w:val="single"/>
        </w:rPr>
        <w:t>Отчисления по чл.64 от ЗУО</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Тези отчисления се правят за всеки тон депонирани отпадъци. Натрупаните средства се разходват за дейности по изграждане на нови съоръжения за третиране на битови и строителни отпадъци, осигуряващи изпълнение от общините на изискванията на закона и подзаконовите нормативни актове по прилагането му. Средствата могат да бъдат разходвани за извършването на последващи разходи, свързани с изградените съоръжения и инсталации за оползотворяване на битови отпадъци.</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Отчисленията се превеждат от собственика на депото ежемесечно по банкова сметка за чужди средства на РИОСВ, на чиято територия се намира депото. Целта на отчисленията като икономически инструмент е да стимулират общините да намалят количествата на депонираните отпадъци за сметка на рециклираните и оползотворени отпадъци и да се натрупат средства за изграждане на инфраструктура за третиране на отпадъците. В случаите, в които дадено депо за отпадъци се използва от няколко общини на регионален принцип, то отчисленията се внасят пропорционално на количествата депонирани отпадъци.</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С последните изменения на Наредбата от 2020 г., размерът на отчисления  по чл. 64 от ЗУО за регионални депа за неопасни отпадъци за всеки тон депониран е:</w:t>
      </w:r>
    </w:p>
    <w:p w:rsidR="005941C9" w:rsidRDefault="00A77877">
      <w:pPr>
        <w:numPr>
          <w:ilvl w:val="0"/>
          <w:numId w:val="13"/>
        </w:numPr>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(изм. - ДВ, бр. 26 от 2020 г.) за 2020 г. - 69 лв./т;</w:t>
      </w:r>
    </w:p>
    <w:p w:rsidR="005941C9" w:rsidRDefault="00A77877">
      <w:pPr>
        <w:numPr>
          <w:ilvl w:val="0"/>
          <w:numId w:val="13"/>
        </w:numPr>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(нова - ДВ, бр. 26 от 2020 г.) за 2021 г. - 82 лв./т;</w:t>
      </w:r>
    </w:p>
    <w:p w:rsidR="005941C9" w:rsidRDefault="00A77877">
      <w:pPr>
        <w:numPr>
          <w:ilvl w:val="0"/>
          <w:numId w:val="13"/>
        </w:numPr>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(нова - ДВ, бр. 26 от 2020 г.) за 2022 г. и всяка следваща година - 95 лв./т;</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Промените в Наредба от 2020 г.  имат за цел да се намали финансовата тежест върху общините, които следва да ги заплащат и нямат налична към момента изградена инфраструктура за третиране на отпадъците.</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За изяснение на изменението на отчисленията представени по-горе (през 2020 и 2021 г.,) бяха направени и изменения в Закона за управление на отпадъците чрез Преходните и заключителни разпоредби към Закона за изменение и допълнение на Данъчно – осигурителния процесуален кодекс (ДВ, бр. 105 от 2020 г., в сила от 01.01.2021 г.), както следва:</w:t>
      </w:r>
    </w:p>
    <w:p w:rsidR="005941C9" w:rsidRDefault="00A77877">
      <w:pPr>
        <w:spacing w:line="276" w:lineRule="auto"/>
        <w:jc w:val="both"/>
        <w:rPr>
          <w:rFonts w:ascii="Palatino Linotype" w:eastAsia="Palatino Linotype" w:hAnsi="Palatino Linotype" w:cs="Palatino Linotype"/>
          <w:i/>
        </w:rPr>
      </w:pPr>
      <w:r>
        <w:rPr>
          <w:rFonts w:ascii="Palatino Linotype" w:eastAsia="Palatino Linotype" w:hAnsi="Palatino Linotype" w:cs="Palatino Linotype"/>
          <w:i/>
        </w:rPr>
        <w:t>§ 57. В Закона за управление на отпадъците (обн., ДВ, бр. 53 от 2012 г.; изм., бр. 66 от 2013 г.; Решение № 1 на Конституционния съд от 2014 г. – бр. 61 от 2014 г.; изм., бр. 98 от 2014 г., бр. 14 от 2015 г., бр. 105 от 2016 г., бр. 13, 85, 88 и 102 от 2017 г., бр. 53, 77 и 98 от 2018 г. и бр. 1, 25, 56 и 81 от 2019 г.) се правят следните изменения:</w:t>
      </w:r>
    </w:p>
    <w:p w:rsidR="005941C9" w:rsidRDefault="00A77877">
      <w:pPr>
        <w:numPr>
          <w:ilvl w:val="0"/>
          <w:numId w:val="14"/>
        </w:numPr>
        <w:spacing w:after="0" w:line="276" w:lineRule="auto"/>
        <w:jc w:val="both"/>
        <w:rPr>
          <w:rFonts w:ascii="Palatino Linotype" w:eastAsia="Palatino Linotype" w:hAnsi="Palatino Linotype" w:cs="Palatino Linotype"/>
          <w:i/>
        </w:rPr>
      </w:pPr>
      <w:r>
        <w:rPr>
          <w:rFonts w:ascii="Palatino Linotype" w:eastAsia="Palatino Linotype" w:hAnsi="Palatino Linotype" w:cs="Palatino Linotype"/>
          <w:i/>
        </w:rPr>
        <w:t xml:space="preserve">§ 58. (В сила от 11.12.2020 - ДВ, бр. 105 от 2020 г.) </w:t>
      </w:r>
    </w:p>
    <w:p w:rsidR="005941C9" w:rsidRDefault="00A77877">
      <w:pPr>
        <w:spacing w:line="276" w:lineRule="auto"/>
        <w:jc w:val="both"/>
        <w:rPr>
          <w:rFonts w:ascii="Palatino Linotype" w:eastAsia="Palatino Linotype" w:hAnsi="Palatino Linotype" w:cs="Palatino Linotype"/>
          <w:i/>
        </w:rPr>
      </w:pPr>
      <w:r>
        <w:rPr>
          <w:rFonts w:ascii="Palatino Linotype" w:eastAsia="Palatino Linotype" w:hAnsi="Palatino Linotype" w:cs="Palatino Linotype"/>
          <w:i/>
        </w:rPr>
        <w:t>(1) Месечните обезпечения и отчисления за 2020 г. по чл. 60, ал. 2, т. 1 и 2 и чл. 64, ал. 1 от Закона за управление на отпадъците за периода от 1 март 2020 г. до 31 декември 2020 г. остават по сметка на общината, която ги е събрала, и се разходват по решение на общинския съвет чрез вътрешни компенсирани промени, без да се изменя приетият от общинския съвет начин на определяне и размер на таксата за битови отпадъци.</w:t>
      </w:r>
    </w:p>
    <w:p w:rsidR="005941C9" w:rsidRDefault="00A77877">
      <w:pPr>
        <w:spacing w:line="276" w:lineRule="auto"/>
        <w:jc w:val="both"/>
        <w:rPr>
          <w:rFonts w:ascii="Palatino Linotype" w:eastAsia="Palatino Linotype" w:hAnsi="Palatino Linotype" w:cs="Palatino Linotype"/>
          <w:i/>
        </w:rPr>
      </w:pPr>
      <w:r>
        <w:rPr>
          <w:rFonts w:ascii="Palatino Linotype" w:eastAsia="Palatino Linotype" w:hAnsi="Palatino Linotype" w:cs="Palatino Linotype"/>
          <w:i/>
        </w:rPr>
        <w:t>(2) Регионалната инспекция по околната среда и водите, на чиято територия се намира съответното депо, възстановява от банковата сметка за чужди средства преведените и неусвоени от общините месечни обезпечения и отчисления за 2020 г. по чл. 60, ал. 2, т. 1 и 2 и чл. 64, ал. 1 от Закона за управление на отпадъците за периода от 1 март 2020 г. до 31 декември 2020 г. в срок до 31 януари 2021 г. Възстановените средства по изречение първо се разходват по решение на общинския съвет при условията на ал. 1.</w:t>
      </w:r>
    </w:p>
    <w:p w:rsidR="005941C9" w:rsidRDefault="00A77877">
      <w:pPr>
        <w:numPr>
          <w:ilvl w:val="0"/>
          <w:numId w:val="14"/>
        </w:numPr>
        <w:spacing w:after="0" w:line="276" w:lineRule="auto"/>
        <w:jc w:val="both"/>
        <w:rPr>
          <w:rFonts w:ascii="Palatino Linotype" w:eastAsia="Palatino Linotype" w:hAnsi="Palatino Linotype" w:cs="Palatino Linotype"/>
          <w:i/>
        </w:rPr>
      </w:pPr>
      <w:r>
        <w:rPr>
          <w:rFonts w:ascii="Palatino Linotype" w:eastAsia="Palatino Linotype" w:hAnsi="Palatino Linotype" w:cs="Palatino Linotype"/>
          <w:i/>
        </w:rPr>
        <w:t xml:space="preserve">§ 59. (В сила от 11.12.2020 - ДВ, бр. 105 от 2020 г.) </w:t>
      </w:r>
    </w:p>
    <w:p w:rsidR="005941C9" w:rsidRDefault="00A77877">
      <w:pPr>
        <w:spacing w:line="276" w:lineRule="auto"/>
        <w:jc w:val="both"/>
        <w:rPr>
          <w:rFonts w:ascii="Palatino Linotype" w:eastAsia="Palatino Linotype" w:hAnsi="Palatino Linotype" w:cs="Palatino Linotype"/>
          <w:i/>
        </w:rPr>
      </w:pPr>
      <w:r>
        <w:rPr>
          <w:rFonts w:ascii="Palatino Linotype" w:eastAsia="Palatino Linotype" w:hAnsi="Palatino Linotype" w:cs="Palatino Linotype"/>
          <w:i/>
        </w:rPr>
        <w:t>(1) За 2021 г. в разходите по чл. 62, т. 3 от Закона за местните данъци и такси може да бъдат включени и разходи за изпълнение на мерки по чл. 63 от Закона за здравето, извършени на територии за обществено ползване в населените места и селищните образувания в общината.</w:t>
      </w:r>
    </w:p>
    <w:p w:rsidR="005941C9" w:rsidRDefault="00A77877">
      <w:pPr>
        <w:spacing w:line="276" w:lineRule="auto"/>
        <w:jc w:val="both"/>
        <w:rPr>
          <w:rFonts w:ascii="Palatino Linotype" w:eastAsia="Palatino Linotype" w:hAnsi="Palatino Linotype" w:cs="Palatino Linotype"/>
          <w:i/>
        </w:rPr>
      </w:pPr>
      <w:r>
        <w:rPr>
          <w:rFonts w:ascii="Palatino Linotype" w:eastAsia="Palatino Linotype" w:hAnsi="Palatino Linotype" w:cs="Palatino Linotype"/>
          <w:i/>
        </w:rPr>
        <w:t>(2) Разходите по ал. 1 се осигуряват чрез вътрешни компенсирани промени, без да се изменя приетият от общинския съвет начин на определяне и размер на таксата за битови отпадъци.</w:t>
      </w:r>
    </w:p>
    <w:p w:rsidR="005941C9" w:rsidRDefault="00A77877">
      <w:pPr>
        <w:numPr>
          <w:ilvl w:val="0"/>
          <w:numId w:val="14"/>
        </w:numPr>
        <w:spacing w:after="0" w:line="276" w:lineRule="auto"/>
        <w:jc w:val="both"/>
        <w:rPr>
          <w:rFonts w:ascii="Palatino Linotype" w:eastAsia="Palatino Linotype" w:hAnsi="Palatino Linotype" w:cs="Palatino Linotype"/>
          <w:i/>
        </w:rPr>
      </w:pPr>
      <w:r>
        <w:rPr>
          <w:rFonts w:ascii="Palatino Linotype" w:eastAsia="Palatino Linotype" w:hAnsi="Palatino Linotype" w:cs="Palatino Linotype"/>
          <w:i/>
        </w:rPr>
        <w:t>§ 60. (В сила от 11.12.2020 - ДВ, бр. 105 от 2020 г.)</w:t>
      </w:r>
    </w:p>
    <w:p w:rsidR="005941C9" w:rsidRDefault="00A77877">
      <w:pPr>
        <w:spacing w:line="276" w:lineRule="auto"/>
        <w:jc w:val="both"/>
        <w:rPr>
          <w:rFonts w:ascii="Palatino Linotype" w:eastAsia="Palatino Linotype" w:hAnsi="Palatino Linotype" w:cs="Palatino Linotype"/>
          <w:i/>
        </w:rPr>
      </w:pPr>
      <w:r>
        <w:rPr>
          <w:rFonts w:ascii="Palatino Linotype" w:eastAsia="Palatino Linotype" w:hAnsi="Palatino Linotype" w:cs="Palatino Linotype"/>
          <w:i/>
        </w:rPr>
        <w:t>(1) Месечните обезпечения и отчисления за 2021 г. по чл. 60, ал. 2, т. 1 и 2 и чл. 64, ал. 1 от Закона за управление на отпадъците може да се разходват по решение на общинския съвет чрез вътрешни компенсирани промени, без да се изменя приетият от общинския съвет начин на определяне и размер на таксата за битови отпадъци.</w:t>
      </w:r>
    </w:p>
    <w:p w:rsidR="005941C9" w:rsidRDefault="00A77877">
      <w:pPr>
        <w:spacing w:line="276" w:lineRule="auto"/>
        <w:jc w:val="both"/>
        <w:rPr>
          <w:rFonts w:ascii="Palatino Linotype" w:eastAsia="Palatino Linotype" w:hAnsi="Palatino Linotype" w:cs="Palatino Linotype"/>
          <w:i/>
        </w:rPr>
      </w:pPr>
      <w:r>
        <w:rPr>
          <w:rFonts w:ascii="Palatino Linotype" w:eastAsia="Palatino Linotype" w:hAnsi="Palatino Linotype" w:cs="Palatino Linotype"/>
          <w:i/>
        </w:rPr>
        <w:t>(2) Дължимите месечни отчисления за 2021 г. по чл. 60, ал. 2, т. 1 и 2 и чл. 64, ал. 1 от Закона за управление на отпадъците се внасят в срок до 31 декември 2021 г.</w:t>
      </w:r>
    </w:p>
    <w:p w:rsidR="005941C9" w:rsidRDefault="00A77877">
      <w:pPr>
        <w:spacing w:line="276" w:lineRule="auto"/>
        <w:jc w:val="both"/>
        <w:rPr>
          <w:rFonts w:ascii="Palatino Linotype" w:eastAsia="Palatino Linotype" w:hAnsi="Palatino Linotype" w:cs="Palatino Linotype"/>
          <w:i/>
        </w:rPr>
      </w:pPr>
      <w:r>
        <w:rPr>
          <w:rFonts w:ascii="Palatino Linotype" w:eastAsia="Palatino Linotype" w:hAnsi="Palatino Linotype" w:cs="Palatino Linotype"/>
          <w:i/>
        </w:rPr>
        <w:t>(3) За периода от 1 януари до 31 декември 2021 г. не се начисляват лихви върху дължимите суми за месечни отчисления по чл. 60, ал. 2, т. 1 и 2 и чл. 64, ал. 1 от Закона за управление на отпадъците</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Анализ на дължими и реално преведени суми за обезпеченията и  отчисленията съответно по  чл. 60 и чл. 64 от ЗУО.</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Анализът  на дължими и реално преведени суми за обезпеченията и  отчисленията съответно по  чл. 60 и чл. 64 от ЗУО е разработен за периода 2016 -2020 г. .  Разглежданият период,  обхваща използването на 2 депа от Столична община – Садината и Долни Богров.</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В таблица 8 са представени данни за периода 2016 – 2020 г., като са разгледани дължимите и реално преведени суми за суми за обезпеченията и  отчисленията съответно по  чл. 60 и чл. 64 от ЗУО и е направено сравнение със средното за страната изпълнение на дължимите  суми, за период от 2016 до 2019 г.,  по обезпеченията и отчисленията в % (спрямо данните от НПУО 2021-2028 г за  средното за страната);</w:t>
      </w:r>
    </w:p>
    <w:p w:rsidR="005941C9" w:rsidRDefault="00A77877">
      <w:pPr>
        <w:pBdr>
          <w:top w:val="nil"/>
          <w:left w:val="nil"/>
          <w:bottom w:val="nil"/>
          <w:right w:val="nil"/>
          <w:between w:val="nil"/>
        </w:pBdr>
        <w:spacing w:after="200" w:line="240" w:lineRule="auto"/>
        <w:jc w:val="both"/>
        <w:rPr>
          <w:rFonts w:ascii="Palatino Linotype" w:eastAsia="Palatino Linotype" w:hAnsi="Palatino Linotype" w:cs="Palatino Linotype"/>
          <w:i/>
          <w:color w:val="44546A"/>
          <w:sz w:val="20"/>
          <w:szCs w:val="20"/>
        </w:rPr>
      </w:pPr>
      <w:r>
        <w:rPr>
          <w:rFonts w:ascii="Palatino Linotype" w:eastAsia="Palatino Linotype" w:hAnsi="Palatino Linotype" w:cs="Palatino Linotype"/>
          <w:i/>
          <w:color w:val="44546A"/>
          <w:sz w:val="20"/>
          <w:szCs w:val="20"/>
        </w:rPr>
        <w:t>Таблица 9 Изпълнение на  обезпеченията по чл. 60 и отчисленията по чл. 64 от ЗУО  в периода 2016-2020 г.</w:t>
      </w:r>
    </w:p>
    <w:tbl>
      <w:tblPr>
        <w:tblStyle w:val="a8"/>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1417"/>
        <w:gridCol w:w="1275"/>
        <w:gridCol w:w="1276"/>
        <w:gridCol w:w="1276"/>
        <w:gridCol w:w="1276"/>
      </w:tblGrid>
      <w:tr w:rsidR="005941C9">
        <w:tc>
          <w:tcPr>
            <w:tcW w:w="3256" w:type="dxa"/>
          </w:tcPr>
          <w:p w:rsidR="005941C9" w:rsidRDefault="005941C9">
            <w:pPr>
              <w:spacing w:line="276" w:lineRule="auto"/>
              <w:jc w:val="both"/>
              <w:rPr>
                <w:rFonts w:ascii="Palatino Linotype" w:eastAsia="Palatino Linotype" w:hAnsi="Palatino Linotype" w:cs="Palatino Linotype"/>
                <w:sz w:val="18"/>
                <w:szCs w:val="18"/>
              </w:rPr>
            </w:pPr>
          </w:p>
        </w:tc>
        <w:tc>
          <w:tcPr>
            <w:tcW w:w="1417" w:type="dxa"/>
          </w:tcPr>
          <w:p w:rsidR="005941C9" w:rsidRDefault="00A77877">
            <w:pPr>
              <w:spacing w:line="276" w:lineRule="auto"/>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2016</w:t>
            </w:r>
          </w:p>
        </w:tc>
        <w:tc>
          <w:tcPr>
            <w:tcW w:w="1275" w:type="dxa"/>
          </w:tcPr>
          <w:p w:rsidR="005941C9" w:rsidRDefault="00A77877">
            <w:pPr>
              <w:spacing w:line="276" w:lineRule="auto"/>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2017</w:t>
            </w:r>
          </w:p>
        </w:tc>
        <w:tc>
          <w:tcPr>
            <w:tcW w:w="1276" w:type="dxa"/>
          </w:tcPr>
          <w:p w:rsidR="005941C9" w:rsidRDefault="00A77877">
            <w:pPr>
              <w:spacing w:line="276" w:lineRule="auto"/>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2018</w:t>
            </w:r>
          </w:p>
        </w:tc>
        <w:tc>
          <w:tcPr>
            <w:tcW w:w="1276" w:type="dxa"/>
          </w:tcPr>
          <w:p w:rsidR="005941C9" w:rsidRDefault="00A77877">
            <w:pPr>
              <w:spacing w:line="276" w:lineRule="auto"/>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2019</w:t>
            </w:r>
          </w:p>
        </w:tc>
        <w:tc>
          <w:tcPr>
            <w:tcW w:w="1276" w:type="dxa"/>
          </w:tcPr>
          <w:p w:rsidR="005941C9" w:rsidRDefault="00A77877">
            <w:pPr>
              <w:spacing w:line="276" w:lineRule="auto"/>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2020</w:t>
            </w:r>
          </w:p>
        </w:tc>
      </w:tr>
      <w:tr w:rsidR="005941C9">
        <w:tc>
          <w:tcPr>
            <w:tcW w:w="3256" w:type="dxa"/>
          </w:tcPr>
          <w:p w:rsidR="005941C9" w:rsidRDefault="00A77877">
            <w:pPr>
              <w:spacing w:line="276" w:lineRule="auto"/>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Постъпили обезпечения по чл. 60 ЗУО (лв.)</w:t>
            </w:r>
          </w:p>
        </w:tc>
        <w:tc>
          <w:tcPr>
            <w:tcW w:w="1417"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379 559,33</w:t>
            </w:r>
          </w:p>
        </w:tc>
        <w:tc>
          <w:tcPr>
            <w:tcW w:w="1275"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318 615,93</w:t>
            </w:r>
          </w:p>
        </w:tc>
        <w:tc>
          <w:tcPr>
            <w:tcW w:w="1276"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299 837,47</w:t>
            </w:r>
          </w:p>
        </w:tc>
        <w:tc>
          <w:tcPr>
            <w:tcW w:w="1276"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271 505,91</w:t>
            </w:r>
          </w:p>
        </w:tc>
        <w:tc>
          <w:tcPr>
            <w:tcW w:w="1276"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227 252,83</w:t>
            </w:r>
          </w:p>
        </w:tc>
      </w:tr>
      <w:tr w:rsidR="005941C9">
        <w:tc>
          <w:tcPr>
            <w:tcW w:w="3256" w:type="dxa"/>
          </w:tcPr>
          <w:p w:rsidR="005941C9" w:rsidRDefault="00A77877">
            <w:pPr>
              <w:spacing w:line="276" w:lineRule="auto"/>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Следва да постъпят по чл. 60 ЗУО (лв.)</w:t>
            </w:r>
          </w:p>
        </w:tc>
        <w:tc>
          <w:tcPr>
            <w:tcW w:w="1417"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379 559,33</w:t>
            </w:r>
          </w:p>
        </w:tc>
        <w:tc>
          <w:tcPr>
            <w:tcW w:w="1275"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318 615,93</w:t>
            </w:r>
          </w:p>
        </w:tc>
        <w:tc>
          <w:tcPr>
            <w:tcW w:w="1276"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299 837,47</w:t>
            </w:r>
          </w:p>
        </w:tc>
        <w:tc>
          <w:tcPr>
            <w:tcW w:w="1276"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271 505,91</w:t>
            </w:r>
          </w:p>
        </w:tc>
        <w:tc>
          <w:tcPr>
            <w:tcW w:w="1276"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267 667,17</w:t>
            </w:r>
          </w:p>
        </w:tc>
      </w:tr>
      <w:tr w:rsidR="005941C9">
        <w:tc>
          <w:tcPr>
            <w:tcW w:w="3256" w:type="dxa"/>
          </w:tcPr>
          <w:p w:rsidR="005941C9" w:rsidRDefault="00A77877">
            <w:pPr>
              <w:spacing w:line="276" w:lineRule="auto"/>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Постъпили/дължими – чл. 60</w:t>
            </w:r>
          </w:p>
        </w:tc>
        <w:tc>
          <w:tcPr>
            <w:tcW w:w="1417"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100%</w:t>
            </w:r>
          </w:p>
        </w:tc>
        <w:tc>
          <w:tcPr>
            <w:tcW w:w="1275"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100%</w:t>
            </w:r>
          </w:p>
        </w:tc>
        <w:tc>
          <w:tcPr>
            <w:tcW w:w="1276"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100%</w:t>
            </w:r>
          </w:p>
        </w:tc>
        <w:tc>
          <w:tcPr>
            <w:tcW w:w="1276"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100%</w:t>
            </w:r>
          </w:p>
        </w:tc>
        <w:tc>
          <w:tcPr>
            <w:tcW w:w="1276"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84,90%</w:t>
            </w:r>
          </w:p>
        </w:tc>
      </w:tr>
      <w:tr w:rsidR="005941C9">
        <w:tc>
          <w:tcPr>
            <w:tcW w:w="3256" w:type="dxa"/>
          </w:tcPr>
          <w:p w:rsidR="005941C9" w:rsidRDefault="00A77877">
            <w:pPr>
              <w:spacing w:line="276" w:lineRule="auto"/>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Средно за страната изпълнение на дължимите суми по чл. 60 (НПУО 2021-2028 г.)</w:t>
            </w:r>
          </w:p>
        </w:tc>
        <w:tc>
          <w:tcPr>
            <w:tcW w:w="1417"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98%</w:t>
            </w:r>
          </w:p>
        </w:tc>
        <w:tc>
          <w:tcPr>
            <w:tcW w:w="1275"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93%</w:t>
            </w:r>
          </w:p>
        </w:tc>
        <w:tc>
          <w:tcPr>
            <w:tcW w:w="1276"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87%</w:t>
            </w:r>
          </w:p>
        </w:tc>
        <w:tc>
          <w:tcPr>
            <w:tcW w:w="1276"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80%</w:t>
            </w:r>
          </w:p>
        </w:tc>
        <w:tc>
          <w:tcPr>
            <w:tcW w:w="1276" w:type="dxa"/>
          </w:tcPr>
          <w:p w:rsidR="005941C9" w:rsidRDefault="005941C9">
            <w:pPr>
              <w:spacing w:line="276" w:lineRule="auto"/>
              <w:jc w:val="right"/>
              <w:rPr>
                <w:rFonts w:ascii="Palatino Linotype" w:eastAsia="Palatino Linotype" w:hAnsi="Palatino Linotype" w:cs="Palatino Linotype"/>
                <w:sz w:val="18"/>
                <w:szCs w:val="18"/>
              </w:rPr>
            </w:pPr>
          </w:p>
        </w:tc>
      </w:tr>
      <w:tr w:rsidR="005941C9">
        <w:tc>
          <w:tcPr>
            <w:tcW w:w="3256" w:type="dxa"/>
          </w:tcPr>
          <w:p w:rsidR="005941C9" w:rsidRDefault="00A77877">
            <w:pPr>
              <w:spacing w:line="276" w:lineRule="auto"/>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Постъпили отчисления по чл. 64 от ЗУО (лв.)</w:t>
            </w:r>
          </w:p>
        </w:tc>
        <w:tc>
          <w:tcPr>
            <w:tcW w:w="1417"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3 156 418,08</w:t>
            </w:r>
          </w:p>
        </w:tc>
        <w:tc>
          <w:tcPr>
            <w:tcW w:w="1275"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3 127 179,20</w:t>
            </w:r>
          </w:p>
        </w:tc>
        <w:tc>
          <w:tcPr>
            <w:tcW w:w="1276"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3 310 804,80</w:t>
            </w:r>
          </w:p>
        </w:tc>
        <w:tc>
          <w:tcPr>
            <w:tcW w:w="1276"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3 786 390,30</w:t>
            </w:r>
          </w:p>
        </w:tc>
        <w:tc>
          <w:tcPr>
            <w:tcW w:w="1276"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3 828 793,44</w:t>
            </w:r>
          </w:p>
        </w:tc>
      </w:tr>
      <w:tr w:rsidR="005941C9">
        <w:tc>
          <w:tcPr>
            <w:tcW w:w="3256" w:type="dxa"/>
          </w:tcPr>
          <w:p w:rsidR="005941C9" w:rsidRDefault="00A77877">
            <w:pPr>
              <w:spacing w:line="276" w:lineRule="auto"/>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Следва да постъпят по чл. 64 ЗУО (лв.)</w:t>
            </w:r>
          </w:p>
        </w:tc>
        <w:tc>
          <w:tcPr>
            <w:tcW w:w="1417"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3 156 418,08</w:t>
            </w:r>
          </w:p>
        </w:tc>
        <w:tc>
          <w:tcPr>
            <w:tcW w:w="1275"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3 127 179,20</w:t>
            </w:r>
          </w:p>
        </w:tc>
        <w:tc>
          <w:tcPr>
            <w:tcW w:w="1276"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3 310 804,80</w:t>
            </w:r>
          </w:p>
        </w:tc>
        <w:tc>
          <w:tcPr>
            <w:tcW w:w="1276"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3 786 390,30</w:t>
            </w:r>
          </w:p>
        </w:tc>
        <w:tc>
          <w:tcPr>
            <w:tcW w:w="1276" w:type="dxa"/>
          </w:tcPr>
          <w:p w:rsidR="005941C9" w:rsidRDefault="00A77877">
            <w:pPr>
              <w:spacing w:line="276" w:lineRule="auto"/>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4 746 083,54</w:t>
            </w:r>
          </w:p>
        </w:tc>
      </w:tr>
      <w:tr w:rsidR="005941C9">
        <w:tc>
          <w:tcPr>
            <w:tcW w:w="3256" w:type="dxa"/>
          </w:tcPr>
          <w:p w:rsidR="005941C9" w:rsidRDefault="00A77877">
            <w:pPr>
              <w:spacing w:line="276" w:lineRule="auto"/>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Постъпили/дължими – чл. 64</w:t>
            </w:r>
          </w:p>
        </w:tc>
        <w:tc>
          <w:tcPr>
            <w:tcW w:w="1417"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100%</w:t>
            </w:r>
          </w:p>
        </w:tc>
        <w:tc>
          <w:tcPr>
            <w:tcW w:w="1275"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100%</w:t>
            </w:r>
          </w:p>
        </w:tc>
        <w:tc>
          <w:tcPr>
            <w:tcW w:w="1276"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100%</w:t>
            </w:r>
          </w:p>
        </w:tc>
        <w:tc>
          <w:tcPr>
            <w:tcW w:w="1276"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100%</w:t>
            </w:r>
          </w:p>
        </w:tc>
        <w:tc>
          <w:tcPr>
            <w:tcW w:w="1276"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80,67%</w:t>
            </w:r>
          </w:p>
        </w:tc>
      </w:tr>
      <w:tr w:rsidR="005941C9">
        <w:tc>
          <w:tcPr>
            <w:tcW w:w="3256" w:type="dxa"/>
          </w:tcPr>
          <w:p w:rsidR="005941C9" w:rsidRDefault="00A77877">
            <w:pPr>
              <w:spacing w:line="276" w:lineRule="auto"/>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Средно за страната изпълнение на дължимите суми по чл. 64 (НПУО 2021-2028 г.)</w:t>
            </w:r>
          </w:p>
        </w:tc>
        <w:tc>
          <w:tcPr>
            <w:tcW w:w="1417"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89%</w:t>
            </w:r>
          </w:p>
        </w:tc>
        <w:tc>
          <w:tcPr>
            <w:tcW w:w="1275"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92%</w:t>
            </w:r>
          </w:p>
        </w:tc>
        <w:tc>
          <w:tcPr>
            <w:tcW w:w="1276"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91%</w:t>
            </w:r>
          </w:p>
        </w:tc>
        <w:tc>
          <w:tcPr>
            <w:tcW w:w="1276" w:type="dxa"/>
          </w:tcPr>
          <w:p w:rsidR="005941C9" w:rsidRDefault="00A77877">
            <w:pPr>
              <w:spacing w:line="276" w:lineRule="auto"/>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83%</w:t>
            </w:r>
          </w:p>
        </w:tc>
        <w:tc>
          <w:tcPr>
            <w:tcW w:w="1276" w:type="dxa"/>
          </w:tcPr>
          <w:p w:rsidR="005941C9" w:rsidRDefault="005941C9">
            <w:pPr>
              <w:spacing w:line="276" w:lineRule="auto"/>
              <w:jc w:val="right"/>
              <w:rPr>
                <w:rFonts w:ascii="Palatino Linotype" w:eastAsia="Palatino Linotype" w:hAnsi="Palatino Linotype" w:cs="Palatino Linotype"/>
                <w:sz w:val="18"/>
                <w:szCs w:val="18"/>
              </w:rPr>
            </w:pPr>
          </w:p>
        </w:tc>
      </w:tr>
    </w:tbl>
    <w:p w:rsidR="005941C9" w:rsidRDefault="00A77877">
      <w:pPr>
        <w:spacing w:line="276" w:lineRule="auto"/>
        <w:ind w:left="6804"/>
        <w:jc w:val="both"/>
        <w:rPr>
          <w:rFonts w:ascii="Palatino Linotype" w:eastAsia="Palatino Linotype" w:hAnsi="Palatino Linotype" w:cs="Palatino Linotype"/>
          <w:i/>
          <w:sz w:val="18"/>
          <w:szCs w:val="18"/>
        </w:rPr>
      </w:pPr>
      <w:r>
        <w:rPr>
          <w:rFonts w:ascii="Palatino Linotype" w:eastAsia="Palatino Linotype" w:hAnsi="Palatino Linotype" w:cs="Palatino Linotype"/>
          <w:i/>
          <w:sz w:val="18"/>
          <w:szCs w:val="18"/>
        </w:rPr>
        <w:t>Източник: Столична община</w:t>
      </w:r>
    </w:p>
    <w:p w:rsidR="005941C9" w:rsidRDefault="00A77877">
      <w:pPr>
        <w:pBdr>
          <w:top w:val="nil"/>
          <w:left w:val="nil"/>
          <w:bottom w:val="nil"/>
          <w:right w:val="nil"/>
          <w:between w:val="nil"/>
        </w:pBdr>
        <w:spacing w:line="276" w:lineRule="auto"/>
        <w:jc w:val="both"/>
        <w:rPr>
          <w:rFonts w:ascii="Palatino Linotype" w:eastAsia="Palatino Linotype" w:hAnsi="Palatino Linotype" w:cs="Palatino Linotype"/>
          <w:i/>
          <w:color w:val="000000"/>
          <w:sz w:val="20"/>
          <w:szCs w:val="20"/>
        </w:rPr>
      </w:pPr>
      <w:r>
        <w:rPr>
          <w:rFonts w:ascii="Palatino Linotype" w:eastAsia="Palatino Linotype" w:hAnsi="Palatino Linotype" w:cs="Palatino Linotype"/>
          <w:i/>
          <w:color w:val="000000"/>
          <w:sz w:val="20"/>
          <w:szCs w:val="20"/>
        </w:rPr>
        <w:t>*Забележка: Задълженията по чл. 60 и чл. 64, обхващат периода януари-декември на съответната година. Реалните плащания са за период декември предишна-ноември следваща година.</w:t>
      </w:r>
    </w:p>
    <w:p w:rsidR="005941C9" w:rsidRDefault="00A77877">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От таблица 9 е видно, че Столична община е изпълнила нормативно установените си ангажименти и е заплатила всички дължими обезпечения по чл. 60 и отчисления, по чл. 64 от ЗУО.  Изпълнението и по двете задължения е 100%, с изключение на 2020 г. По този начин Столична община  е достигнала изпълнение по постъпилите отчисления по чл. 64 над средните за страната за целия период от 2016 до 2019 г., които са в диапазона 83-92%.</w:t>
      </w:r>
    </w:p>
    <w:p w:rsidR="005941C9" w:rsidRDefault="005941C9">
      <w:pPr>
        <w:spacing w:line="276" w:lineRule="auto"/>
        <w:jc w:val="both"/>
        <w:rPr>
          <w:rFonts w:ascii="Palatino Linotype" w:eastAsia="Palatino Linotype" w:hAnsi="Palatino Linotype" w:cs="Palatino Linotype"/>
        </w:rPr>
      </w:pPr>
      <w:bookmarkStart w:id="1" w:name="_heading=h.gjdgxs" w:colFirst="0" w:colLast="0"/>
      <w:bookmarkEnd w:id="1"/>
    </w:p>
    <w:p w:rsidR="005941C9" w:rsidRDefault="00A77877">
      <w:pPr>
        <w:numPr>
          <w:ilvl w:val="2"/>
          <w:numId w:val="7"/>
        </w:numPr>
        <w:pBdr>
          <w:top w:val="nil"/>
          <w:left w:val="nil"/>
          <w:bottom w:val="single" w:sz="4" w:space="1" w:color="000000"/>
          <w:right w:val="nil"/>
          <w:between w:val="nil"/>
        </w:pBdr>
        <w:tabs>
          <w:tab w:val="left" w:pos="142"/>
        </w:tabs>
        <w:spacing w:after="0"/>
        <w:jc w:val="both"/>
        <w:rPr>
          <w:rFonts w:ascii="Palatino Linotype" w:eastAsia="Palatino Linotype" w:hAnsi="Palatino Linotype" w:cs="Palatino Linotype"/>
          <w:b/>
          <w:color w:val="000000"/>
        </w:rPr>
      </w:pPr>
      <w:r>
        <w:rPr>
          <w:rFonts w:ascii="Palatino Linotype" w:eastAsia="Palatino Linotype" w:hAnsi="Palatino Linotype" w:cs="Palatino Linotype"/>
          <w:b/>
          <w:color w:val="000000"/>
        </w:rPr>
        <w:t>Изводи и препоръки</w:t>
      </w:r>
    </w:p>
    <w:p w:rsidR="005941C9" w:rsidRDefault="00A77877">
      <w:pPr>
        <w:numPr>
          <w:ilvl w:val="0"/>
          <w:numId w:val="5"/>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В </w:t>
      </w:r>
      <w:sdt>
        <w:sdtPr>
          <w:tag w:val="goog_rdk_1"/>
          <w:id w:val="1734738967"/>
        </w:sdtPr>
        <w:sdtContent/>
      </w:sdt>
      <w:r w:rsidR="0043452D">
        <w:rPr>
          <w:rFonts w:ascii="Palatino Linotype" w:eastAsia="Palatino Linotype" w:hAnsi="Palatino Linotype" w:cs="Palatino Linotype"/>
          <w:color w:val="000000"/>
        </w:rPr>
        <w:t>С</w:t>
      </w:r>
      <w:r>
        <w:rPr>
          <w:rFonts w:ascii="Palatino Linotype" w:eastAsia="Palatino Linotype" w:hAnsi="Palatino Linotype" w:cs="Palatino Linotype"/>
          <w:color w:val="000000"/>
        </w:rPr>
        <w:t>толична община има няколко подхода за определяне на такса битови отпадъци, в зависимост от вида на имота:</w:t>
      </w:r>
    </w:p>
    <w:p w:rsidR="005941C9" w:rsidRDefault="00A77877">
      <w:pPr>
        <w:numPr>
          <w:ilvl w:val="0"/>
          <w:numId w:val="14"/>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 нежилищни имоти на предприятията</w:t>
      </w:r>
    </w:p>
    <w:p w:rsidR="005941C9" w:rsidRDefault="00A77877">
      <w:pPr>
        <w:numPr>
          <w:ilvl w:val="0"/>
          <w:numId w:val="12"/>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според количеството на битовите отпадъци съобразно вида и броя на съдовете за съхраняването им и честотата на сметоизвозване;</w:t>
      </w:r>
    </w:p>
    <w:p w:rsidR="005941C9" w:rsidRDefault="00A77877">
      <w:pPr>
        <w:numPr>
          <w:ilvl w:val="0"/>
          <w:numId w:val="12"/>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чрез пряко договаряне;</w:t>
      </w:r>
    </w:p>
    <w:p w:rsidR="005941C9" w:rsidRDefault="00A77877">
      <w:pPr>
        <w:numPr>
          <w:ilvl w:val="0"/>
          <w:numId w:val="12"/>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пропорционално в промили на база отчетна стойност на имотите</w:t>
      </w:r>
    </w:p>
    <w:p w:rsidR="005941C9" w:rsidRDefault="00A77877">
      <w:pPr>
        <w:numPr>
          <w:ilvl w:val="0"/>
          <w:numId w:val="14"/>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 имоти на граждани и жилищни имоти на предприятия</w:t>
      </w:r>
    </w:p>
    <w:p w:rsidR="005941C9" w:rsidRDefault="00A77877">
      <w:pPr>
        <w:numPr>
          <w:ilvl w:val="0"/>
          <w:numId w:val="12"/>
        </w:numPr>
        <w:pBdr>
          <w:top w:val="nil"/>
          <w:left w:val="nil"/>
          <w:bottom w:val="nil"/>
          <w:right w:val="nil"/>
          <w:between w:val="nil"/>
        </w:pBdr>
        <w:spacing w:after="0" w:line="276" w:lineRule="auto"/>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пропорционално в промили  на база данъчната оценка на имотите</w:t>
      </w:r>
    </w:p>
    <w:p w:rsidR="005941C9" w:rsidRDefault="00A77877">
      <w:pPr>
        <w:numPr>
          <w:ilvl w:val="0"/>
          <w:numId w:val="5"/>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На база разработения Анализ и оценка на въведените икономически инструменти и стимули в областта на управлението на отпадъците и ефективността от действието им към Националния план за управление на отпадъците 2021-2028 г. относно приходите от ТБО на 1 жител и на тон отпадък през 2018 г. правим следните изводи:</w:t>
      </w:r>
    </w:p>
    <w:p w:rsidR="005941C9" w:rsidRDefault="00A77877">
      <w:pPr>
        <w:numPr>
          <w:ilvl w:val="0"/>
          <w:numId w:val="12"/>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Столична община покрива изцяло разходите си  за управление на отпадъците в рамките на приходите от такса битови отпадъци</w:t>
      </w:r>
    </w:p>
    <w:p w:rsidR="005941C9" w:rsidRDefault="00A77877">
      <w:pPr>
        <w:numPr>
          <w:ilvl w:val="0"/>
          <w:numId w:val="12"/>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Анализът показва, че бизнесът заплаща два пъти повече на 1 тон отпадъци спрямо населението, т.е. такса битови отпадъци не изпълнява ролята си на икономически инструмент. </w:t>
      </w:r>
    </w:p>
    <w:p w:rsidR="005941C9" w:rsidRDefault="00A77877">
      <w:pPr>
        <w:numPr>
          <w:ilvl w:val="0"/>
          <w:numId w:val="12"/>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 да се спазва принципът „замърсителят плаща“, като количеството битови отпадъци да стане водеща основа за определяне на размера на таксата за битови отпадъци, чрез промени в НАРЕДБА за определяне и администриране на местни такси и цени на услуги, предоставяни от Столична община.</w:t>
      </w:r>
    </w:p>
    <w:p w:rsidR="005941C9" w:rsidRDefault="005941C9">
      <w:pPr>
        <w:pBdr>
          <w:top w:val="nil"/>
          <w:left w:val="nil"/>
          <w:bottom w:val="nil"/>
          <w:right w:val="nil"/>
          <w:between w:val="nil"/>
        </w:pBdr>
        <w:ind w:left="1080"/>
        <w:jc w:val="both"/>
        <w:rPr>
          <w:rFonts w:ascii="Palatino Linotype" w:eastAsia="Palatino Linotype" w:hAnsi="Palatino Linotype" w:cs="Palatino Linotype"/>
          <w:color w:val="000000"/>
        </w:rPr>
      </w:pPr>
    </w:p>
    <w:sectPr w:rsidR="005941C9">
      <w:headerReference w:type="default" r:id="rId8"/>
      <w:footerReference w:type="default" r:id="rId9"/>
      <w:headerReference w:type="first" r:id="rId10"/>
      <w:pgSz w:w="11906" w:h="16838"/>
      <w:pgMar w:top="1417" w:right="1133" w:bottom="1417" w:left="1417" w:header="709" w:footer="709"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730" w:rsidRDefault="00345730">
      <w:pPr>
        <w:spacing w:after="0" w:line="240" w:lineRule="auto"/>
      </w:pPr>
      <w:r>
        <w:separator/>
      </w:r>
    </w:p>
  </w:endnote>
  <w:endnote w:type="continuationSeparator" w:id="0">
    <w:p w:rsidR="00345730" w:rsidRDefault="00345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libri"/>
    <w:charset w:val="00"/>
    <w:family w:val="auto"/>
    <w:pitch w:val="default"/>
  </w:font>
  <w:font w:name="Palatino Linotype">
    <w:panose1 w:val="02040502050505030304"/>
    <w:charset w:val="CC"/>
    <w:family w:val="roman"/>
    <w:pitch w:val="variable"/>
    <w:sig w:usb0="E0000287" w:usb1="4000001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730" w:rsidRDefault="00345730">
    <w:pPr>
      <w:pBdr>
        <w:top w:val="nil"/>
        <w:left w:val="nil"/>
        <w:bottom w:val="nil"/>
        <w:right w:val="nil"/>
        <w:between w:val="nil"/>
      </w:pBdr>
      <w:tabs>
        <w:tab w:val="center" w:pos="4536"/>
        <w:tab w:val="right" w:pos="9072"/>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376390">
      <w:rPr>
        <w:noProof/>
        <w:color w:val="000000"/>
      </w:rPr>
      <w:t>5</w:t>
    </w:r>
    <w:r>
      <w:rPr>
        <w:color w:val="000000"/>
      </w:rPr>
      <w:fldChar w:fldCharType="end"/>
    </w:r>
  </w:p>
  <w:p w:rsidR="00345730" w:rsidRDefault="00345730">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730" w:rsidRDefault="00345730">
      <w:pPr>
        <w:spacing w:after="0" w:line="240" w:lineRule="auto"/>
      </w:pPr>
      <w:r>
        <w:separator/>
      </w:r>
    </w:p>
  </w:footnote>
  <w:footnote w:type="continuationSeparator" w:id="0">
    <w:p w:rsidR="00345730" w:rsidRDefault="003457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730" w:rsidRDefault="00345730">
    <w:pPr>
      <w:tabs>
        <w:tab w:val="center" w:pos="4536"/>
        <w:tab w:val="right" w:pos="9072"/>
      </w:tabs>
      <w:spacing w:after="0" w:line="240" w:lineRule="auto"/>
    </w:pPr>
    <w:r>
      <w:rPr>
        <w:rFonts w:ascii="Palatino Linotype" w:eastAsia="Palatino Linotype" w:hAnsi="Palatino Linotype" w:cs="Palatino Linotype"/>
        <w:b/>
        <w:noProof/>
      </w:rPr>
      <w:drawing>
        <wp:inline distT="0" distB="0" distL="0" distR="0">
          <wp:extent cx="5759450" cy="831970"/>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59450" cy="831970"/>
                  </a:xfrm>
                  <a:prstGeom prst="rect">
                    <a:avLst/>
                  </a:prstGeom>
                  <a:ln/>
                </pic:spPr>
              </pic:pic>
            </a:graphicData>
          </a:graphic>
        </wp:inline>
      </w:drawing>
    </w:r>
  </w:p>
  <w:p w:rsidR="00345730" w:rsidRDefault="00345730">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730" w:rsidRDefault="00345730">
    <w:pPr>
      <w:pBdr>
        <w:top w:val="nil"/>
        <w:left w:val="nil"/>
        <w:bottom w:val="nil"/>
        <w:right w:val="nil"/>
        <w:between w:val="nil"/>
      </w:pBdr>
      <w:tabs>
        <w:tab w:val="center" w:pos="4536"/>
        <w:tab w:val="right" w:pos="9072"/>
      </w:tabs>
      <w:spacing w:after="0" w:line="240" w:lineRule="auto"/>
      <w:rPr>
        <w:color w:val="000000"/>
      </w:rPr>
    </w:pPr>
    <w:r>
      <w:rPr>
        <w:rFonts w:ascii="Palatino Linotype" w:eastAsia="Palatino Linotype" w:hAnsi="Palatino Linotype" w:cs="Palatino Linotype"/>
        <w:b/>
        <w:noProof/>
        <w:color w:val="000000"/>
      </w:rPr>
      <w:drawing>
        <wp:inline distT="0" distB="0" distL="0" distR="0">
          <wp:extent cx="5759450" cy="83197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59450" cy="831970"/>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D2B99"/>
    <w:multiLevelType w:val="multilevel"/>
    <w:tmpl w:val="6DFCB3D0"/>
    <w:lvl w:ilvl="0">
      <w:start w:val="2"/>
      <w:numFmt w:val="bullet"/>
      <w:lvlText w:val="-"/>
      <w:lvlJc w:val="left"/>
      <w:pPr>
        <w:ind w:left="1080" w:hanging="360"/>
      </w:pPr>
      <w:rPr>
        <w:rFonts w:ascii="Calibri" w:eastAsia="Calibri" w:hAnsi="Calibri" w:cs="Calibri"/>
        <w:sz w:val="22"/>
        <w:szCs w:val="22"/>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172F2B40"/>
    <w:multiLevelType w:val="multilevel"/>
    <w:tmpl w:val="D722B03A"/>
    <w:lvl w:ilvl="0">
      <w:start w:val="2"/>
      <w:numFmt w:val="bullet"/>
      <w:lvlText w:val="-"/>
      <w:lvlJc w:val="left"/>
      <w:pPr>
        <w:ind w:left="1080" w:hanging="360"/>
      </w:pPr>
      <w:rPr>
        <w:rFonts w:ascii="Calibri" w:eastAsia="Calibri" w:hAnsi="Calibri" w:cs="Calibri"/>
        <w:sz w:val="22"/>
        <w:szCs w:val="22"/>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18C751F4"/>
    <w:multiLevelType w:val="multilevel"/>
    <w:tmpl w:val="83281A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9B735DA"/>
    <w:multiLevelType w:val="multilevel"/>
    <w:tmpl w:val="6EDA27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12D3827"/>
    <w:multiLevelType w:val="multilevel"/>
    <w:tmpl w:val="035414AE"/>
    <w:lvl w:ilvl="0">
      <w:start w:val="1"/>
      <w:numFmt w:val="bullet"/>
      <w:lvlText w:val="●"/>
      <w:lvlJc w:val="left"/>
      <w:pPr>
        <w:ind w:left="1647" w:hanging="360"/>
      </w:pPr>
      <w:rPr>
        <w:rFonts w:ascii="Noto Sans Symbols" w:eastAsia="Noto Sans Symbols" w:hAnsi="Noto Sans Symbols" w:cs="Noto Sans Symbols"/>
      </w:rPr>
    </w:lvl>
    <w:lvl w:ilvl="1">
      <w:start w:val="1"/>
      <w:numFmt w:val="bullet"/>
      <w:lvlText w:val="o"/>
      <w:lvlJc w:val="left"/>
      <w:pPr>
        <w:ind w:left="2367" w:hanging="360"/>
      </w:pPr>
      <w:rPr>
        <w:rFonts w:ascii="Courier New" w:eastAsia="Courier New" w:hAnsi="Courier New" w:cs="Courier New"/>
      </w:rPr>
    </w:lvl>
    <w:lvl w:ilvl="2">
      <w:start w:val="1"/>
      <w:numFmt w:val="bullet"/>
      <w:lvlText w:val="▪"/>
      <w:lvlJc w:val="left"/>
      <w:pPr>
        <w:ind w:left="3087" w:hanging="360"/>
      </w:pPr>
      <w:rPr>
        <w:rFonts w:ascii="Noto Sans Symbols" w:eastAsia="Noto Sans Symbols" w:hAnsi="Noto Sans Symbols" w:cs="Noto Sans Symbols"/>
      </w:rPr>
    </w:lvl>
    <w:lvl w:ilvl="3">
      <w:start w:val="1"/>
      <w:numFmt w:val="bullet"/>
      <w:lvlText w:val="●"/>
      <w:lvlJc w:val="left"/>
      <w:pPr>
        <w:ind w:left="3807" w:hanging="360"/>
      </w:pPr>
      <w:rPr>
        <w:rFonts w:ascii="Noto Sans Symbols" w:eastAsia="Noto Sans Symbols" w:hAnsi="Noto Sans Symbols" w:cs="Noto Sans Symbols"/>
      </w:rPr>
    </w:lvl>
    <w:lvl w:ilvl="4">
      <w:start w:val="1"/>
      <w:numFmt w:val="bullet"/>
      <w:lvlText w:val="o"/>
      <w:lvlJc w:val="left"/>
      <w:pPr>
        <w:ind w:left="4527" w:hanging="360"/>
      </w:pPr>
      <w:rPr>
        <w:rFonts w:ascii="Courier New" w:eastAsia="Courier New" w:hAnsi="Courier New" w:cs="Courier New"/>
      </w:rPr>
    </w:lvl>
    <w:lvl w:ilvl="5">
      <w:start w:val="1"/>
      <w:numFmt w:val="bullet"/>
      <w:lvlText w:val="▪"/>
      <w:lvlJc w:val="left"/>
      <w:pPr>
        <w:ind w:left="5247" w:hanging="360"/>
      </w:pPr>
      <w:rPr>
        <w:rFonts w:ascii="Noto Sans Symbols" w:eastAsia="Noto Sans Symbols" w:hAnsi="Noto Sans Symbols" w:cs="Noto Sans Symbols"/>
      </w:rPr>
    </w:lvl>
    <w:lvl w:ilvl="6">
      <w:start w:val="1"/>
      <w:numFmt w:val="bullet"/>
      <w:lvlText w:val="●"/>
      <w:lvlJc w:val="left"/>
      <w:pPr>
        <w:ind w:left="5967" w:hanging="360"/>
      </w:pPr>
      <w:rPr>
        <w:rFonts w:ascii="Noto Sans Symbols" w:eastAsia="Noto Sans Symbols" w:hAnsi="Noto Sans Symbols" w:cs="Noto Sans Symbols"/>
      </w:rPr>
    </w:lvl>
    <w:lvl w:ilvl="7">
      <w:start w:val="1"/>
      <w:numFmt w:val="bullet"/>
      <w:lvlText w:val="o"/>
      <w:lvlJc w:val="left"/>
      <w:pPr>
        <w:ind w:left="6687" w:hanging="360"/>
      </w:pPr>
      <w:rPr>
        <w:rFonts w:ascii="Courier New" w:eastAsia="Courier New" w:hAnsi="Courier New" w:cs="Courier New"/>
      </w:rPr>
    </w:lvl>
    <w:lvl w:ilvl="8">
      <w:start w:val="1"/>
      <w:numFmt w:val="bullet"/>
      <w:lvlText w:val="▪"/>
      <w:lvlJc w:val="left"/>
      <w:pPr>
        <w:ind w:left="7407" w:hanging="360"/>
      </w:pPr>
      <w:rPr>
        <w:rFonts w:ascii="Noto Sans Symbols" w:eastAsia="Noto Sans Symbols" w:hAnsi="Noto Sans Symbols" w:cs="Noto Sans Symbols"/>
      </w:rPr>
    </w:lvl>
  </w:abstractNum>
  <w:abstractNum w:abstractNumId="5" w15:restartNumberingAfterBreak="0">
    <w:nsid w:val="326D30DE"/>
    <w:multiLevelType w:val="multilevel"/>
    <w:tmpl w:val="C396EE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BA6AEB"/>
    <w:multiLevelType w:val="multilevel"/>
    <w:tmpl w:val="F406314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48675CE8"/>
    <w:multiLevelType w:val="multilevel"/>
    <w:tmpl w:val="E56CF674"/>
    <w:lvl w:ilvl="0">
      <w:start w:val="4"/>
      <w:numFmt w:val="decimal"/>
      <w:lvlText w:val="%1."/>
      <w:lvlJc w:val="left"/>
      <w:pPr>
        <w:ind w:left="612" w:hanging="612"/>
      </w:pPr>
    </w:lvl>
    <w:lvl w:ilvl="1">
      <w:start w:val="10"/>
      <w:numFmt w:val="decimal"/>
      <w:lvlText w:val="%1.%2."/>
      <w:lvlJc w:val="left"/>
      <w:pPr>
        <w:ind w:left="612" w:hanging="612"/>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4C3A13A9"/>
    <w:multiLevelType w:val="multilevel"/>
    <w:tmpl w:val="F0E2AB58"/>
    <w:lvl w:ilvl="0">
      <w:start w:val="1"/>
      <w:numFmt w:val="decimal"/>
      <w:lvlText w:val="%1."/>
      <w:lvlJc w:val="left"/>
      <w:pPr>
        <w:ind w:left="720" w:hanging="360"/>
      </w:pPr>
      <w:rPr>
        <w:rFonts w:ascii="Palatino Linotype" w:eastAsia="Palatino Linotype" w:hAnsi="Palatino Linotype" w:cs="Palatino Linotype"/>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59765732"/>
    <w:multiLevelType w:val="multilevel"/>
    <w:tmpl w:val="B4C80D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6BC1A29"/>
    <w:multiLevelType w:val="multilevel"/>
    <w:tmpl w:val="9C224F32"/>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1" w15:restartNumberingAfterBreak="0">
    <w:nsid w:val="67F44A11"/>
    <w:multiLevelType w:val="multilevel"/>
    <w:tmpl w:val="84EE17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A10157F"/>
    <w:multiLevelType w:val="multilevel"/>
    <w:tmpl w:val="E196C9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A294D61"/>
    <w:multiLevelType w:val="multilevel"/>
    <w:tmpl w:val="6FBC03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6"/>
  </w:num>
  <w:num w:numId="2">
    <w:abstractNumId w:val="4"/>
  </w:num>
  <w:num w:numId="3">
    <w:abstractNumId w:val="10"/>
  </w:num>
  <w:num w:numId="4">
    <w:abstractNumId w:val="8"/>
  </w:num>
  <w:num w:numId="5">
    <w:abstractNumId w:val="11"/>
  </w:num>
  <w:num w:numId="6">
    <w:abstractNumId w:val="12"/>
  </w:num>
  <w:num w:numId="7">
    <w:abstractNumId w:val="7"/>
  </w:num>
  <w:num w:numId="8">
    <w:abstractNumId w:val="5"/>
  </w:num>
  <w:num w:numId="9">
    <w:abstractNumId w:val="3"/>
  </w:num>
  <w:num w:numId="10">
    <w:abstractNumId w:val="0"/>
  </w:num>
  <w:num w:numId="11">
    <w:abstractNumId w:val="9"/>
  </w:num>
  <w:num w:numId="12">
    <w:abstractNumId w:val="1"/>
  </w:num>
  <w:num w:numId="13">
    <w:abstractNumId w:val="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1C9"/>
    <w:rsid w:val="000C3568"/>
    <w:rsid w:val="00222DE2"/>
    <w:rsid w:val="00345730"/>
    <w:rsid w:val="00376390"/>
    <w:rsid w:val="0043452D"/>
    <w:rsid w:val="005941C9"/>
    <w:rsid w:val="00A7787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4908C8-70A7-4C08-BE6E-11F850776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bg-BG" w:eastAsia="bg-BG"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0F96"/>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9238E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238E8"/>
  </w:style>
  <w:style w:type="paragraph" w:styleId="Footer">
    <w:name w:val="footer"/>
    <w:basedOn w:val="Normal"/>
    <w:link w:val="FooterChar"/>
    <w:uiPriority w:val="99"/>
    <w:unhideWhenUsed/>
    <w:rsid w:val="009238E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238E8"/>
  </w:style>
  <w:style w:type="paragraph" w:styleId="ListParagraph">
    <w:name w:val="List Paragraph"/>
    <w:basedOn w:val="Normal"/>
    <w:uiPriority w:val="34"/>
    <w:qFormat/>
    <w:rsid w:val="004867B6"/>
    <w:pPr>
      <w:ind w:left="720"/>
      <w:contextualSpacing/>
    </w:pPr>
  </w:style>
  <w:style w:type="character" w:styleId="Hyperlink">
    <w:name w:val="Hyperlink"/>
    <w:basedOn w:val="DefaultParagraphFont"/>
    <w:uiPriority w:val="99"/>
    <w:unhideWhenUsed/>
    <w:rsid w:val="00DB4816"/>
    <w:rPr>
      <w:color w:val="0563C1" w:themeColor="hyperlink"/>
      <w:u w:val="single"/>
    </w:rPr>
  </w:style>
  <w:style w:type="table" w:styleId="TableGrid">
    <w:name w:val="Table Grid"/>
    <w:basedOn w:val="TableNormal"/>
    <w:uiPriority w:val="39"/>
    <w:rsid w:val="00DB48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31BA7"/>
    <w:pPr>
      <w:spacing w:after="200" w:line="240" w:lineRule="auto"/>
    </w:pPr>
    <w:rPr>
      <w:i/>
      <w:iCs/>
      <w:color w:val="44546A" w:themeColor="text2"/>
      <w:sz w:val="18"/>
      <w:szCs w:val="1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pPr>
      <w:spacing w:after="0" w:line="240" w:lineRule="auto"/>
    </w:pPr>
    <w:tblPr>
      <w:tblStyleRowBandSize w:val="1"/>
      <w:tblStyleColBandSize w:val="1"/>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778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78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RwBtduWQwtaVGCkAyfQf5wQ7Xw==">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4321</Words>
  <Characters>24634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EcoLogistikA</dc:creator>
  <cp:lastModifiedBy>EcoLogistikA</cp:lastModifiedBy>
  <cp:revision>5</cp:revision>
  <dcterms:created xsi:type="dcterms:W3CDTF">2022-01-19T10:21:00Z</dcterms:created>
  <dcterms:modified xsi:type="dcterms:W3CDTF">2022-06-16T12:23:00Z</dcterms:modified>
</cp:coreProperties>
</file>